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21D914">
      <w:pPr>
        <w:pStyle w:val="2"/>
        <w:bidi w:val="0"/>
        <w:jc w:val="center"/>
        <w:rPr>
          <w:rFonts w:hint="eastAsia"/>
        </w:rPr>
      </w:pPr>
      <w:r>
        <w:rPr>
          <w:rFonts w:hint="eastAsia"/>
        </w:rPr>
        <w:t>询 价 函</w:t>
      </w:r>
    </w:p>
    <w:p w14:paraId="06E87567">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14:paraId="0B8F5FE0">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在会昌县城区市政道路项目需招雨污管网清淤、CCTV检测单位，</w:t>
      </w:r>
      <w:r>
        <w:rPr>
          <w:rFonts w:hint="eastAsia" w:ascii="黑体" w:hAnsi="黑体" w:eastAsia="黑体" w:cs="黑体"/>
          <w:sz w:val="28"/>
          <w:szCs w:val="28"/>
        </w:rPr>
        <w:t>现邀请</w:t>
      </w:r>
      <w:r>
        <w:rPr>
          <w:rFonts w:hint="eastAsia" w:ascii="黑体" w:hAnsi="黑体" w:eastAsia="黑体" w:cs="黑体"/>
          <w:sz w:val="28"/>
          <w:szCs w:val="28"/>
          <w:lang w:eastAsia="zh-CN"/>
        </w:rPr>
        <w:t>各大</w:t>
      </w:r>
      <w:r>
        <w:rPr>
          <w:rFonts w:hint="eastAsia" w:ascii="黑体" w:hAnsi="黑体" w:eastAsia="黑体" w:cs="黑体"/>
          <w:sz w:val="28"/>
          <w:szCs w:val="28"/>
          <w:lang w:val="en-US" w:eastAsia="zh-CN"/>
        </w:rPr>
        <w:t>符合资质的公司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14:paraId="32DF85F8">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14:paraId="06F2602F">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联系人：胡先生   联系电话：15970996995</w:t>
      </w:r>
    </w:p>
    <w:p w14:paraId="69E43C2F">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报价截止时间为2024年8月31日17时。</w:t>
      </w:r>
    </w:p>
    <w:p w14:paraId="7E3AFEB9">
      <w:pPr>
        <w:numPr>
          <w:ilvl w:val="0"/>
          <w:numId w:val="1"/>
        </w:num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主要建设内容及要求：</w:t>
      </w:r>
    </w:p>
    <w:p w14:paraId="45373EAD">
      <w:pPr>
        <w:numPr>
          <w:ilvl w:val="0"/>
          <w:numId w:val="0"/>
        </w:numPr>
        <w:spacing w:line="480" w:lineRule="exac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施工内容：会昌县城区市政道路雨污管网CCTV检测（部分需清淤），共约1万米（具体工程量按实际为准）。</w:t>
      </w:r>
    </w:p>
    <w:p w14:paraId="279D2C1C">
      <w:pPr>
        <w:numPr>
          <w:ilvl w:val="0"/>
          <w:numId w:val="0"/>
        </w:numPr>
        <w:spacing w:line="480" w:lineRule="exac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施工要求：</w:t>
      </w:r>
      <w:bookmarkStart w:id="0" w:name="_GoBack"/>
      <w:bookmarkEnd w:id="0"/>
    </w:p>
    <w:p w14:paraId="5D15DAFC">
      <w:pPr>
        <w:numPr>
          <w:ilvl w:val="0"/>
          <w:numId w:val="0"/>
        </w:numPr>
        <w:spacing w:line="480" w:lineRule="exac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1、管道cctv检测前须做好交通、车流的管制和警示措施；</w:t>
      </w:r>
    </w:p>
    <w:p w14:paraId="3D359263">
      <w:pPr>
        <w:numPr>
          <w:ilvl w:val="0"/>
          <w:numId w:val="0"/>
        </w:numPr>
        <w:spacing w:line="480" w:lineRule="exac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2、管道cctv检测前须检查管道及周边设施，确定检测范围和路线；</w:t>
      </w:r>
    </w:p>
    <w:p w14:paraId="4B7A630E">
      <w:pPr>
        <w:numPr>
          <w:ilvl w:val="0"/>
          <w:numId w:val="0"/>
        </w:numPr>
        <w:spacing w:line="480" w:lineRule="exac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3、管道cctv检测数据的处理方式应符合相关标准规定；</w:t>
      </w:r>
    </w:p>
    <w:p w14:paraId="4930B98F">
      <w:pPr>
        <w:numPr>
          <w:ilvl w:val="0"/>
          <w:numId w:val="0"/>
        </w:numPr>
        <w:spacing w:line="480" w:lineRule="exac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4、设备应选用具备供电可靠、存储容量大、图像清晰、导航准确、操作方便等特点的设备。</w:t>
      </w:r>
    </w:p>
    <w:p w14:paraId="5FB0212E">
      <w:pPr>
        <w:numPr>
          <w:ilvl w:val="0"/>
          <w:numId w:val="0"/>
        </w:numPr>
        <w:spacing w:line="480" w:lineRule="exac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5、检测单位应具备相应资质，施工人员应具备专业的技能和资质，并进行相关的操作规范培训；</w:t>
      </w:r>
    </w:p>
    <w:p w14:paraId="754F6AB9">
      <w:pPr>
        <w:numPr>
          <w:ilvl w:val="0"/>
          <w:numId w:val="0"/>
        </w:numPr>
        <w:spacing w:line="480" w:lineRule="exac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6、将检测设备的数据记录下来，包括管径、管材、管道走向、管道坡度、管道深度、管道病害分部等信息，并定期对数据进行处理汇总，以便后续分析和处理。</w:t>
      </w:r>
    </w:p>
    <w:p w14:paraId="5133D62E">
      <w:pPr>
        <w:pStyle w:val="10"/>
        <w:ind w:left="0" w:leftChars="0" w:firstLine="0" w:firstLineChars="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二、工程款支付</w:t>
      </w:r>
    </w:p>
    <w:p w14:paraId="2C0A53A3">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工程完工并提交检测报告给甲方后，甲方支付乙方总工程费用的70%，余款3个月内一次性付清。</w:t>
      </w:r>
    </w:p>
    <w:p w14:paraId="38BF3102">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14:paraId="3867DE23">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工程量清单</w:t>
      </w:r>
    </w:p>
    <w:tbl>
      <w:tblPr>
        <w:tblStyle w:val="12"/>
        <w:tblW w:w="465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8"/>
        <w:gridCol w:w="1260"/>
        <w:gridCol w:w="598"/>
        <w:gridCol w:w="930"/>
        <w:gridCol w:w="997"/>
        <w:gridCol w:w="1056"/>
        <w:gridCol w:w="1057"/>
        <w:gridCol w:w="1015"/>
      </w:tblGrid>
      <w:tr w14:paraId="32B3F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1" w:type="pct"/>
            <w:noWrap w:val="0"/>
            <w:vAlign w:val="center"/>
          </w:tcPr>
          <w:p w14:paraId="6721DD23">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794" w:type="pct"/>
            <w:noWrap w:val="0"/>
            <w:vAlign w:val="center"/>
          </w:tcPr>
          <w:p w14:paraId="1D639DF4">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项目</w:t>
            </w:r>
          </w:p>
        </w:tc>
        <w:tc>
          <w:tcPr>
            <w:tcW w:w="377" w:type="pct"/>
            <w:noWrap w:val="0"/>
            <w:vAlign w:val="center"/>
          </w:tcPr>
          <w:p w14:paraId="7DA4C5EE">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单位</w:t>
            </w:r>
          </w:p>
        </w:tc>
        <w:tc>
          <w:tcPr>
            <w:tcW w:w="586" w:type="pct"/>
            <w:noWrap w:val="0"/>
            <w:vAlign w:val="center"/>
          </w:tcPr>
          <w:p w14:paraId="5E7CE0B3">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管径</w:t>
            </w:r>
          </w:p>
        </w:tc>
        <w:tc>
          <w:tcPr>
            <w:tcW w:w="628" w:type="pct"/>
            <w:noWrap w:val="0"/>
            <w:vAlign w:val="center"/>
          </w:tcPr>
          <w:p w14:paraId="2E56861E">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暂定数量</w:t>
            </w:r>
          </w:p>
        </w:tc>
        <w:tc>
          <w:tcPr>
            <w:tcW w:w="665" w:type="pct"/>
            <w:noWrap w:val="0"/>
            <w:vAlign w:val="center"/>
          </w:tcPr>
          <w:p w14:paraId="43C56607">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666" w:type="pct"/>
            <w:noWrap w:val="0"/>
            <w:vAlign w:val="center"/>
          </w:tcPr>
          <w:p w14:paraId="778E3264">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金额（元）</w:t>
            </w:r>
          </w:p>
        </w:tc>
        <w:tc>
          <w:tcPr>
            <w:tcW w:w="639" w:type="pct"/>
            <w:noWrap w:val="0"/>
            <w:vAlign w:val="center"/>
          </w:tcPr>
          <w:p w14:paraId="32489923">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14:paraId="24924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trPr>
        <w:tc>
          <w:tcPr>
            <w:tcW w:w="641" w:type="pct"/>
            <w:vMerge w:val="restart"/>
            <w:noWrap w:val="0"/>
            <w:vAlign w:val="center"/>
          </w:tcPr>
          <w:p w14:paraId="755C2861">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会昌县城区市政道路</w:t>
            </w:r>
          </w:p>
        </w:tc>
        <w:tc>
          <w:tcPr>
            <w:tcW w:w="794" w:type="pct"/>
            <w:vMerge w:val="restart"/>
            <w:noWrap w:val="0"/>
            <w:vAlign w:val="center"/>
          </w:tcPr>
          <w:p w14:paraId="5B10D777">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CCTV检测</w:t>
            </w:r>
          </w:p>
        </w:tc>
        <w:tc>
          <w:tcPr>
            <w:tcW w:w="377" w:type="pct"/>
            <w:vMerge w:val="restart"/>
            <w:noWrap w:val="0"/>
            <w:vAlign w:val="center"/>
          </w:tcPr>
          <w:p w14:paraId="4496D241">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米</w:t>
            </w:r>
          </w:p>
        </w:tc>
        <w:tc>
          <w:tcPr>
            <w:tcW w:w="586" w:type="pct"/>
            <w:noWrap w:val="0"/>
            <w:vAlign w:val="center"/>
          </w:tcPr>
          <w:p w14:paraId="3E0799E5">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300</w:t>
            </w:r>
          </w:p>
        </w:tc>
        <w:tc>
          <w:tcPr>
            <w:tcW w:w="628" w:type="pct"/>
            <w:noWrap w:val="0"/>
            <w:vAlign w:val="center"/>
          </w:tcPr>
          <w:p w14:paraId="60909F51">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3000</w:t>
            </w:r>
          </w:p>
        </w:tc>
        <w:tc>
          <w:tcPr>
            <w:tcW w:w="665" w:type="pct"/>
            <w:noWrap w:val="0"/>
            <w:vAlign w:val="center"/>
          </w:tcPr>
          <w:p w14:paraId="333B7FC3">
            <w:pPr>
              <w:spacing w:line="480" w:lineRule="exact"/>
              <w:jc w:val="center"/>
              <w:rPr>
                <w:rFonts w:hint="eastAsia" w:ascii="黑体" w:hAnsi="黑体" w:eastAsia="黑体" w:cs="黑体"/>
                <w:bCs/>
                <w:sz w:val="21"/>
                <w:szCs w:val="21"/>
                <w:lang w:val="en-US" w:eastAsia="zh-CN"/>
              </w:rPr>
            </w:pPr>
          </w:p>
        </w:tc>
        <w:tc>
          <w:tcPr>
            <w:tcW w:w="666" w:type="pct"/>
            <w:noWrap w:val="0"/>
            <w:vAlign w:val="center"/>
          </w:tcPr>
          <w:p w14:paraId="4EE86E7D">
            <w:pPr>
              <w:keepNext w:val="0"/>
              <w:keepLines w:val="0"/>
              <w:widowControl/>
              <w:suppressLineNumbers w:val="0"/>
              <w:jc w:val="center"/>
              <w:textAlignment w:val="center"/>
              <w:rPr>
                <w:rFonts w:hint="eastAsia" w:ascii="黑体" w:hAnsi="黑体" w:eastAsia="黑体" w:cs="黑体"/>
                <w:bCs/>
                <w:sz w:val="21"/>
                <w:szCs w:val="21"/>
                <w:lang w:val="en-US" w:eastAsia="zh-CN"/>
              </w:rPr>
            </w:pPr>
          </w:p>
        </w:tc>
        <w:tc>
          <w:tcPr>
            <w:tcW w:w="639" w:type="pct"/>
            <w:vMerge w:val="restart"/>
            <w:noWrap w:val="0"/>
            <w:vAlign w:val="center"/>
          </w:tcPr>
          <w:p w14:paraId="145C8A9B">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符合施工要求标准</w:t>
            </w:r>
          </w:p>
        </w:tc>
      </w:tr>
      <w:tr w14:paraId="4A86A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trPr>
        <w:tc>
          <w:tcPr>
            <w:tcW w:w="641" w:type="pct"/>
            <w:vMerge w:val="continue"/>
            <w:noWrap w:val="0"/>
            <w:vAlign w:val="center"/>
          </w:tcPr>
          <w:p w14:paraId="60232281">
            <w:pPr>
              <w:spacing w:line="480" w:lineRule="exact"/>
              <w:jc w:val="center"/>
              <w:rPr>
                <w:rFonts w:hint="eastAsia" w:ascii="黑体" w:hAnsi="黑体" w:eastAsia="黑体" w:cs="黑体"/>
                <w:sz w:val="21"/>
                <w:szCs w:val="21"/>
                <w:lang w:val="en-US" w:eastAsia="zh-CN"/>
              </w:rPr>
            </w:pPr>
          </w:p>
        </w:tc>
        <w:tc>
          <w:tcPr>
            <w:tcW w:w="794" w:type="pct"/>
            <w:vMerge w:val="continue"/>
            <w:noWrap w:val="0"/>
            <w:vAlign w:val="center"/>
          </w:tcPr>
          <w:p w14:paraId="3BB9C079">
            <w:pPr>
              <w:spacing w:line="480" w:lineRule="exact"/>
              <w:jc w:val="center"/>
              <w:rPr>
                <w:rFonts w:hint="eastAsia" w:ascii="黑体" w:hAnsi="黑体" w:eastAsia="黑体" w:cs="黑体"/>
                <w:bCs/>
                <w:sz w:val="21"/>
                <w:szCs w:val="21"/>
                <w:lang w:val="en-US" w:eastAsia="zh-CN"/>
              </w:rPr>
            </w:pPr>
          </w:p>
        </w:tc>
        <w:tc>
          <w:tcPr>
            <w:tcW w:w="377" w:type="pct"/>
            <w:vMerge w:val="continue"/>
            <w:noWrap w:val="0"/>
            <w:vAlign w:val="center"/>
          </w:tcPr>
          <w:p w14:paraId="397A3E66">
            <w:pPr>
              <w:spacing w:line="480" w:lineRule="exact"/>
              <w:jc w:val="center"/>
              <w:rPr>
                <w:rFonts w:hint="eastAsia" w:ascii="黑体" w:hAnsi="黑体" w:eastAsia="黑体" w:cs="黑体"/>
                <w:bCs/>
                <w:sz w:val="21"/>
                <w:szCs w:val="21"/>
                <w:lang w:val="en-US" w:eastAsia="zh-CN"/>
              </w:rPr>
            </w:pPr>
          </w:p>
        </w:tc>
        <w:tc>
          <w:tcPr>
            <w:tcW w:w="586" w:type="pct"/>
            <w:noWrap w:val="0"/>
            <w:vAlign w:val="center"/>
          </w:tcPr>
          <w:p w14:paraId="2A6E2088">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400</w:t>
            </w:r>
          </w:p>
        </w:tc>
        <w:tc>
          <w:tcPr>
            <w:tcW w:w="628" w:type="pct"/>
            <w:noWrap w:val="0"/>
            <w:vAlign w:val="center"/>
          </w:tcPr>
          <w:p w14:paraId="0DD9551A">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3000</w:t>
            </w:r>
          </w:p>
        </w:tc>
        <w:tc>
          <w:tcPr>
            <w:tcW w:w="665" w:type="pct"/>
            <w:noWrap w:val="0"/>
            <w:vAlign w:val="center"/>
          </w:tcPr>
          <w:p w14:paraId="615969CD">
            <w:pPr>
              <w:spacing w:line="480" w:lineRule="exact"/>
              <w:jc w:val="center"/>
              <w:rPr>
                <w:rFonts w:hint="eastAsia" w:ascii="黑体" w:hAnsi="黑体" w:eastAsia="黑体" w:cs="黑体"/>
                <w:bCs/>
                <w:sz w:val="21"/>
                <w:szCs w:val="21"/>
                <w:lang w:val="en-US" w:eastAsia="zh-CN"/>
              </w:rPr>
            </w:pPr>
          </w:p>
        </w:tc>
        <w:tc>
          <w:tcPr>
            <w:tcW w:w="666" w:type="pct"/>
            <w:noWrap w:val="0"/>
            <w:vAlign w:val="center"/>
          </w:tcPr>
          <w:p w14:paraId="747E93E9">
            <w:pPr>
              <w:keepNext w:val="0"/>
              <w:keepLines w:val="0"/>
              <w:widowControl/>
              <w:suppressLineNumbers w:val="0"/>
              <w:jc w:val="center"/>
              <w:textAlignment w:val="center"/>
              <w:rPr>
                <w:rFonts w:hint="eastAsia" w:ascii="黑体" w:hAnsi="黑体" w:eastAsia="黑体" w:cs="黑体"/>
                <w:bCs/>
                <w:sz w:val="21"/>
                <w:szCs w:val="21"/>
                <w:lang w:val="en-US" w:eastAsia="zh-CN"/>
              </w:rPr>
            </w:pPr>
          </w:p>
        </w:tc>
        <w:tc>
          <w:tcPr>
            <w:tcW w:w="639" w:type="pct"/>
            <w:vMerge w:val="continue"/>
            <w:noWrap w:val="0"/>
            <w:vAlign w:val="center"/>
          </w:tcPr>
          <w:p w14:paraId="5C88EE92">
            <w:pPr>
              <w:keepNext w:val="0"/>
              <w:keepLines w:val="0"/>
              <w:widowControl/>
              <w:suppressLineNumbers w:val="0"/>
              <w:jc w:val="center"/>
              <w:textAlignment w:val="center"/>
              <w:rPr>
                <w:rFonts w:hint="eastAsia" w:ascii="黑体" w:hAnsi="黑体" w:eastAsia="黑体" w:cs="黑体"/>
                <w:bCs/>
                <w:sz w:val="21"/>
                <w:szCs w:val="21"/>
                <w:lang w:val="en-US" w:eastAsia="zh-CN"/>
              </w:rPr>
            </w:pPr>
          </w:p>
        </w:tc>
      </w:tr>
      <w:tr w14:paraId="1F39E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trPr>
        <w:tc>
          <w:tcPr>
            <w:tcW w:w="641" w:type="pct"/>
            <w:vMerge w:val="continue"/>
            <w:noWrap w:val="0"/>
            <w:vAlign w:val="center"/>
          </w:tcPr>
          <w:p w14:paraId="31DF1F0D">
            <w:pPr>
              <w:spacing w:line="480" w:lineRule="exact"/>
              <w:jc w:val="center"/>
              <w:rPr>
                <w:rFonts w:hint="eastAsia" w:ascii="黑体" w:hAnsi="黑体" w:eastAsia="黑体" w:cs="黑体"/>
                <w:sz w:val="21"/>
                <w:szCs w:val="21"/>
                <w:lang w:val="en-US" w:eastAsia="zh-CN"/>
              </w:rPr>
            </w:pPr>
          </w:p>
        </w:tc>
        <w:tc>
          <w:tcPr>
            <w:tcW w:w="794" w:type="pct"/>
            <w:vMerge w:val="restart"/>
            <w:noWrap w:val="0"/>
            <w:vAlign w:val="center"/>
          </w:tcPr>
          <w:p w14:paraId="29D2770A">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管道清淤</w:t>
            </w:r>
          </w:p>
        </w:tc>
        <w:tc>
          <w:tcPr>
            <w:tcW w:w="377" w:type="pct"/>
            <w:vMerge w:val="restart"/>
            <w:noWrap w:val="0"/>
            <w:vAlign w:val="center"/>
          </w:tcPr>
          <w:p w14:paraId="787995CF">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米</w:t>
            </w:r>
          </w:p>
        </w:tc>
        <w:tc>
          <w:tcPr>
            <w:tcW w:w="586" w:type="pct"/>
            <w:shd w:val="clear" w:color="auto" w:fill="auto"/>
            <w:noWrap w:val="0"/>
            <w:vAlign w:val="center"/>
          </w:tcPr>
          <w:p w14:paraId="6B106274">
            <w:pPr>
              <w:spacing w:line="480" w:lineRule="exact"/>
              <w:jc w:val="center"/>
              <w:rPr>
                <w:rFonts w:hint="default" w:ascii="黑体" w:hAnsi="黑体" w:eastAsia="黑体" w:cs="黑体"/>
                <w:bCs/>
                <w:kern w:val="2"/>
                <w:sz w:val="21"/>
                <w:szCs w:val="21"/>
                <w:lang w:val="en-US" w:eastAsia="zh-CN" w:bidi="ar-SA"/>
              </w:rPr>
            </w:pPr>
            <w:r>
              <w:rPr>
                <w:rFonts w:hint="eastAsia" w:ascii="黑体" w:hAnsi="黑体" w:eastAsia="黑体" w:cs="黑体"/>
                <w:bCs/>
                <w:sz w:val="21"/>
                <w:szCs w:val="21"/>
                <w:lang w:val="en-US" w:eastAsia="zh-CN"/>
              </w:rPr>
              <w:t>300</w:t>
            </w:r>
          </w:p>
        </w:tc>
        <w:tc>
          <w:tcPr>
            <w:tcW w:w="628" w:type="pct"/>
            <w:shd w:val="clear" w:color="auto" w:fill="auto"/>
            <w:noWrap w:val="0"/>
            <w:vAlign w:val="center"/>
          </w:tcPr>
          <w:p w14:paraId="66B7423D">
            <w:pPr>
              <w:spacing w:line="480" w:lineRule="exact"/>
              <w:jc w:val="center"/>
              <w:rPr>
                <w:rFonts w:hint="default" w:ascii="黑体" w:hAnsi="黑体" w:eastAsia="黑体" w:cs="黑体"/>
                <w:bCs/>
                <w:kern w:val="2"/>
                <w:sz w:val="21"/>
                <w:szCs w:val="21"/>
                <w:lang w:val="en-US" w:eastAsia="zh-CN" w:bidi="ar-SA"/>
              </w:rPr>
            </w:pPr>
            <w:r>
              <w:rPr>
                <w:rFonts w:hint="eastAsia" w:ascii="黑体" w:hAnsi="黑体" w:eastAsia="黑体" w:cs="黑体"/>
                <w:bCs/>
                <w:sz w:val="21"/>
                <w:szCs w:val="21"/>
                <w:lang w:val="en-US" w:eastAsia="zh-CN"/>
              </w:rPr>
              <w:t>2000</w:t>
            </w:r>
          </w:p>
        </w:tc>
        <w:tc>
          <w:tcPr>
            <w:tcW w:w="665" w:type="pct"/>
            <w:noWrap w:val="0"/>
            <w:vAlign w:val="center"/>
          </w:tcPr>
          <w:p w14:paraId="42CE5651">
            <w:pPr>
              <w:spacing w:line="480" w:lineRule="exact"/>
              <w:jc w:val="center"/>
              <w:rPr>
                <w:rFonts w:hint="eastAsia" w:ascii="黑体" w:hAnsi="黑体" w:eastAsia="黑体" w:cs="黑体"/>
                <w:bCs/>
                <w:sz w:val="21"/>
                <w:szCs w:val="21"/>
                <w:lang w:val="en-US" w:eastAsia="zh-CN"/>
              </w:rPr>
            </w:pPr>
          </w:p>
        </w:tc>
        <w:tc>
          <w:tcPr>
            <w:tcW w:w="666" w:type="pct"/>
            <w:noWrap w:val="0"/>
            <w:vAlign w:val="center"/>
          </w:tcPr>
          <w:p w14:paraId="44915C71">
            <w:pPr>
              <w:keepNext w:val="0"/>
              <w:keepLines w:val="0"/>
              <w:widowControl/>
              <w:suppressLineNumbers w:val="0"/>
              <w:jc w:val="center"/>
              <w:textAlignment w:val="center"/>
              <w:rPr>
                <w:rFonts w:hint="eastAsia" w:ascii="黑体" w:hAnsi="黑体" w:eastAsia="黑体" w:cs="黑体"/>
                <w:bCs/>
                <w:sz w:val="21"/>
                <w:szCs w:val="21"/>
                <w:lang w:val="en-US" w:eastAsia="zh-CN"/>
              </w:rPr>
            </w:pPr>
          </w:p>
        </w:tc>
        <w:tc>
          <w:tcPr>
            <w:tcW w:w="639" w:type="pct"/>
            <w:vMerge w:val="restart"/>
            <w:noWrap w:val="0"/>
            <w:vAlign w:val="center"/>
          </w:tcPr>
          <w:p w14:paraId="185257F7">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含cctv检测</w:t>
            </w:r>
          </w:p>
        </w:tc>
      </w:tr>
      <w:tr w14:paraId="54D7A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trPr>
        <w:tc>
          <w:tcPr>
            <w:tcW w:w="641" w:type="pct"/>
            <w:vMerge w:val="continue"/>
            <w:noWrap w:val="0"/>
            <w:vAlign w:val="center"/>
          </w:tcPr>
          <w:p w14:paraId="2AD846B9">
            <w:pPr>
              <w:spacing w:line="480" w:lineRule="exact"/>
              <w:jc w:val="center"/>
              <w:rPr>
                <w:rFonts w:hint="eastAsia" w:ascii="黑体" w:hAnsi="黑体" w:eastAsia="黑体" w:cs="黑体"/>
                <w:sz w:val="21"/>
                <w:szCs w:val="21"/>
                <w:lang w:val="en-US" w:eastAsia="zh-CN"/>
              </w:rPr>
            </w:pPr>
          </w:p>
        </w:tc>
        <w:tc>
          <w:tcPr>
            <w:tcW w:w="794" w:type="pct"/>
            <w:vMerge w:val="continue"/>
            <w:noWrap w:val="0"/>
            <w:vAlign w:val="center"/>
          </w:tcPr>
          <w:p w14:paraId="57565213">
            <w:pPr>
              <w:spacing w:line="480" w:lineRule="exact"/>
              <w:jc w:val="center"/>
              <w:rPr>
                <w:rFonts w:hint="eastAsia" w:ascii="黑体" w:hAnsi="黑体" w:eastAsia="黑体" w:cs="黑体"/>
                <w:bCs/>
                <w:sz w:val="21"/>
                <w:szCs w:val="21"/>
                <w:lang w:val="en-US" w:eastAsia="zh-CN"/>
              </w:rPr>
            </w:pPr>
          </w:p>
        </w:tc>
        <w:tc>
          <w:tcPr>
            <w:tcW w:w="377" w:type="pct"/>
            <w:vMerge w:val="continue"/>
            <w:noWrap w:val="0"/>
            <w:vAlign w:val="center"/>
          </w:tcPr>
          <w:p w14:paraId="7E7593A1">
            <w:pPr>
              <w:spacing w:line="480" w:lineRule="exact"/>
              <w:jc w:val="center"/>
              <w:rPr>
                <w:rFonts w:hint="eastAsia" w:ascii="黑体" w:hAnsi="黑体" w:eastAsia="黑体" w:cs="黑体"/>
                <w:bCs/>
                <w:sz w:val="21"/>
                <w:szCs w:val="21"/>
                <w:lang w:val="en-US" w:eastAsia="zh-CN"/>
              </w:rPr>
            </w:pPr>
          </w:p>
        </w:tc>
        <w:tc>
          <w:tcPr>
            <w:tcW w:w="586" w:type="pct"/>
            <w:shd w:val="clear" w:color="auto" w:fill="auto"/>
            <w:noWrap w:val="0"/>
            <w:vAlign w:val="center"/>
          </w:tcPr>
          <w:p w14:paraId="22CAEEC5">
            <w:pPr>
              <w:spacing w:line="480" w:lineRule="exact"/>
              <w:jc w:val="center"/>
              <w:rPr>
                <w:rFonts w:hint="default" w:ascii="黑体" w:hAnsi="黑体" w:eastAsia="黑体" w:cs="黑体"/>
                <w:bCs/>
                <w:kern w:val="2"/>
                <w:sz w:val="21"/>
                <w:szCs w:val="21"/>
                <w:lang w:val="en-US" w:eastAsia="zh-CN" w:bidi="ar-SA"/>
              </w:rPr>
            </w:pPr>
            <w:r>
              <w:rPr>
                <w:rFonts w:hint="eastAsia" w:ascii="黑体" w:hAnsi="黑体" w:eastAsia="黑体" w:cs="黑体"/>
                <w:bCs/>
                <w:sz w:val="21"/>
                <w:szCs w:val="21"/>
                <w:lang w:val="en-US" w:eastAsia="zh-CN"/>
              </w:rPr>
              <w:t>400</w:t>
            </w:r>
          </w:p>
        </w:tc>
        <w:tc>
          <w:tcPr>
            <w:tcW w:w="628" w:type="pct"/>
            <w:shd w:val="clear" w:color="auto" w:fill="auto"/>
            <w:noWrap w:val="0"/>
            <w:vAlign w:val="center"/>
          </w:tcPr>
          <w:p w14:paraId="6ADA1811">
            <w:pPr>
              <w:spacing w:line="480" w:lineRule="exact"/>
              <w:jc w:val="center"/>
              <w:rPr>
                <w:rFonts w:hint="default" w:ascii="黑体" w:hAnsi="黑体" w:eastAsia="黑体" w:cs="黑体"/>
                <w:bCs/>
                <w:kern w:val="2"/>
                <w:sz w:val="21"/>
                <w:szCs w:val="21"/>
                <w:lang w:val="en-US" w:eastAsia="zh-CN" w:bidi="ar-SA"/>
              </w:rPr>
            </w:pPr>
            <w:r>
              <w:rPr>
                <w:rFonts w:hint="eastAsia" w:ascii="黑体" w:hAnsi="黑体" w:eastAsia="黑体" w:cs="黑体"/>
                <w:bCs/>
                <w:sz w:val="21"/>
                <w:szCs w:val="21"/>
                <w:lang w:val="en-US" w:eastAsia="zh-CN"/>
              </w:rPr>
              <w:t>2000</w:t>
            </w:r>
          </w:p>
        </w:tc>
        <w:tc>
          <w:tcPr>
            <w:tcW w:w="665" w:type="pct"/>
            <w:noWrap w:val="0"/>
            <w:vAlign w:val="center"/>
          </w:tcPr>
          <w:p w14:paraId="747F8E0F">
            <w:pPr>
              <w:spacing w:line="480" w:lineRule="exact"/>
              <w:jc w:val="center"/>
              <w:rPr>
                <w:rFonts w:hint="eastAsia" w:ascii="黑体" w:hAnsi="黑体" w:eastAsia="黑体" w:cs="黑体"/>
                <w:bCs/>
                <w:sz w:val="21"/>
                <w:szCs w:val="21"/>
                <w:lang w:val="en-US" w:eastAsia="zh-CN"/>
              </w:rPr>
            </w:pPr>
          </w:p>
        </w:tc>
        <w:tc>
          <w:tcPr>
            <w:tcW w:w="666" w:type="pct"/>
            <w:noWrap w:val="0"/>
            <w:vAlign w:val="center"/>
          </w:tcPr>
          <w:p w14:paraId="4EC73C2E">
            <w:pPr>
              <w:keepNext w:val="0"/>
              <w:keepLines w:val="0"/>
              <w:widowControl/>
              <w:suppressLineNumbers w:val="0"/>
              <w:jc w:val="center"/>
              <w:textAlignment w:val="center"/>
              <w:rPr>
                <w:rFonts w:hint="eastAsia" w:ascii="黑体" w:hAnsi="黑体" w:eastAsia="黑体" w:cs="黑体"/>
                <w:bCs/>
                <w:sz w:val="21"/>
                <w:szCs w:val="21"/>
                <w:lang w:val="en-US" w:eastAsia="zh-CN"/>
              </w:rPr>
            </w:pPr>
          </w:p>
        </w:tc>
        <w:tc>
          <w:tcPr>
            <w:tcW w:w="639" w:type="pct"/>
            <w:vMerge w:val="continue"/>
            <w:noWrap w:val="0"/>
            <w:vAlign w:val="center"/>
          </w:tcPr>
          <w:p w14:paraId="64E3CB40">
            <w:pPr>
              <w:keepNext w:val="0"/>
              <w:keepLines w:val="0"/>
              <w:widowControl/>
              <w:suppressLineNumbers w:val="0"/>
              <w:jc w:val="center"/>
              <w:textAlignment w:val="center"/>
              <w:rPr>
                <w:rFonts w:hint="eastAsia" w:ascii="黑体" w:hAnsi="黑体" w:eastAsia="黑体" w:cs="黑体"/>
                <w:bCs/>
                <w:sz w:val="21"/>
                <w:szCs w:val="21"/>
                <w:lang w:val="en-US" w:eastAsia="zh-CN"/>
              </w:rPr>
            </w:pPr>
          </w:p>
        </w:tc>
      </w:tr>
    </w:tbl>
    <w:p w14:paraId="4E1D61E8">
      <w:pPr>
        <w:spacing w:line="480" w:lineRule="exact"/>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val="en-US" w:eastAsia="zh-CN"/>
        </w:rPr>
        <w:t>以单价*</w:t>
      </w:r>
      <w:r>
        <w:rPr>
          <w:rFonts w:hint="eastAsia" w:ascii="楷体_GB2312" w:hAnsi="楷体_GB2312" w:eastAsia="黑体" w:cs="楷体_GB2312"/>
          <w:bCs/>
          <w:sz w:val="28"/>
          <w:szCs w:val="28"/>
          <w:lang w:eastAsia="zh-CN"/>
        </w:rPr>
        <w:t>实际工程量结算</w:t>
      </w:r>
    </w:p>
    <w:p w14:paraId="0C9CA65F">
      <w:pPr>
        <w:spacing w:line="480" w:lineRule="exact"/>
        <w:rPr>
          <w:rFonts w:hint="eastAsia" w:ascii="黑体" w:hAnsi="黑体" w:eastAsia="黑体" w:cs="黑体"/>
          <w:bCs/>
          <w:sz w:val="28"/>
          <w:szCs w:val="28"/>
          <w:lang w:eastAsia="zh-CN"/>
        </w:rPr>
      </w:pPr>
    </w:p>
    <w:p w14:paraId="3DF0FE4A">
      <w:pPr>
        <w:spacing w:line="480" w:lineRule="exact"/>
        <w:rPr>
          <w:rFonts w:hint="eastAsia" w:ascii="黑体" w:hAnsi="黑体" w:eastAsia="黑体" w:cs="黑体"/>
          <w:bCs/>
          <w:sz w:val="28"/>
          <w:szCs w:val="28"/>
          <w:lang w:eastAsia="zh-CN"/>
        </w:rPr>
      </w:pPr>
    </w:p>
    <w:p w14:paraId="69EE76F0">
      <w:pPr>
        <w:spacing w:line="480" w:lineRule="exact"/>
        <w:rPr>
          <w:rFonts w:hint="eastAsia" w:ascii="黑体" w:hAnsi="黑体" w:eastAsia="黑体" w:cs="黑体"/>
          <w:bCs/>
          <w:sz w:val="28"/>
          <w:szCs w:val="28"/>
          <w:lang w:eastAsia="zh-CN"/>
        </w:rPr>
      </w:pPr>
    </w:p>
    <w:p w14:paraId="4AE62168">
      <w:pPr>
        <w:spacing w:line="480" w:lineRule="exact"/>
        <w:rPr>
          <w:rFonts w:hint="eastAsia" w:ascii="黑体" w:hAnsi="黑体" w:eastAsia="黑体" w:cs="黑体"/>
          <w:bCs/>
          <w:sz w:val="28"/>
          <w:szCs w:val="28"/>
          <w:lang w:eastAsia="zh-CN"/>
        </w:rPr>
      </w:pPr>
    </w:p>
    <w:p w14:paraId="1796EBEC">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14:paraId="3C0803B8">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询价工程量清单 ：</w:t>
      </w:r>
    </w:p>
    <w:p w14:paraId="4CEB04E9">
      <w:pPr>
        <w:spacing w:line="480" w:lineRule="exact"/>
        <w:jc w:val="center"/>
        <w:rPr>
          <w:rFonts w:hint="eastAsia" w:ascii="黑体" w:hAnsi="黑体" w:eastAsia="黑体" w:cs="黑体"/>
          <w:bCs/>
          <w:sz w:val="36"/>
          <w:szCs w:val="36"/>
          <w:lang w:eastAsia="zh-CN"/>
        </w:rPr>
      </w:pPr>
      <w:r>
        <w:rPr>
          <w:rFonts w:hint="eastAsia" w:ascii="黑体" w:hAnsi="黑体" w:eastAsia="黑体" w:cs="黑体"/>
          <w:bCs/>
          <w:sz w:val="36"/>
          <w:szCs w:val="36"/>
          <w:lang w:eastAsia="zh-CN"/>
        </w:rPr>
        <w:t>报价表</w:t>
      </w:r>
    </w:p>
    <w:tbl>
      <w:tblPr>
        <w:tblStyle w:val="12"/>
        <w:tblW w:w="465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6"/>
        <w:gridCol w:w="1259"/>
        <w:gridCol w:w="598"/>
        <w:gridCol w:w="930"/>
        <w:gridCol w:w="996"/>
        <w:gridCol w:w="1056"/>
        <w:gridCol w:w="1056"/>
        <w:gridCol w:w="1020"/>
      </w:tblGrid>
      <w:tr w14:paraId="0B1C9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1" w:type="pct"/>
            <w:noWrap w:val="0"/>
            <w:vAlign w:val="center"/>
          </w:tcPr>
          <w:p w14:paraId="090606E8">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794" w:type="pct"/>
            <w:noWrap w:val="0"/>
            <w:vAlign w:val="center"/>
          </w:tcPr>
          <w:p w14:paraId="5D914FA6">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项目</w:t>
            </w:r>
          </w:p>
        </w:tc>
        <w:tc>
          <w:tcPr>
            <w:tcW w:w="377" w:type="pct"/>
            <w:noWrap w:val="0"/>
            <w:vAlign w:val="center"/>
          </w:tcPr>
          <w:p w14:paraId="2C481AB6">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单位</w:t>
            </w:r>
          </w:p>
        </w:tc>
        <w:tc>
          <w:tcPr>
            <w:tcW w:w="586" w:type="pct"/>
            <w:noWrap w:val="0"/>
            <w:vAlign w:val="center"/>
          </w:tcPr>
          <w:p w14:paraId="4F86552E">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管径</w:t>
            </w:r>
          </w:p>
        </w:tc>
        <w:tc>
          <w:tcPr>
            <w:tcW w:w="628" w:type="pct"/>
            <w:noWrap w:val="0"/>
            <w:vAlign w:val="center"/>
          </w:tcPr>
          <w:p w14:paraId="480A8E58">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暂定数量</w:t>
            </w:r>
          </w:p>
        </w:tc>
        <w:tc>
          <w:tcPr>
            <w:tcW w:w="665" w:type="pct"/>
            <w:noWrap w:val="0"/>
            <w:vAlign w:val="center"/>
          </w:tcPr>
          <w:p w14:paraId="72375ED2">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666" w:type="pct"/>
            <w:noWrap w:val="0"/>
            <w:vAlign w:val="center"/>
          </w:tcPr>
          <w:p w14:paraId="550FBCCE">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金额（元）</w:t>
            </w:r>
          </w:p>
        </w:tc>
        <w:tc>
          <w:tcPr>
            <w:tcW w:w="639" w:type="pct"/>
            <w:noWrap w:val="0"/>
            <w:vAlign w:val="center"/>
          </w:tcPr>
          <w:p w14:paraId="097B4B89">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14:paraId="7429D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trPr>
        <w:tc>
          <w:tcPr>
            <w:tcW w:w="641" w:type="pct"/>
            <w:vMerge w:val="restart"/>
            <w:noWrap w:val="0"/>
            <w:vAlign w:val="center"/>
          </w:tcPr>
          <w:p w14:paraId="1CFAFCCD">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会昌县城区市政道路</w:t>
            </w:r>
          </w:p>
        </w:tc>
        <w:tc>
          <w:tcPr>
            <w:tcW w:w="794" w:type="pct"/>
            <w:vMerge w:val="restart"/>
            <w:noWrap w:val="0"/>
            <w:vAlign w:val="center"/>
          </w:tcPr>
          <w:p w14:paraId="4E012773">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CCTV检测</w:t>
            </w:r>
          </w:p>
        </w:tc>
        <w:tc>
          <w:tcPr>
            <w:tcW w:w="377" w:type="pct"/>
            <w:vMerge w:val="restart"/>
            <w:noWrap w:val="0"/>
            <w:vAlign w:val="center"/>
          </w:tcPr>
          <w:p w14:paraId="403AEAF8">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米</w:t>
            </w:r>
          </w:p>
        </w:tc>
        <w:tc>
          <w:tcPr>
            <w:tcW w:w="586" w:type="pct"/>
            <w:noWrap w:val="0"/>
            <w:vAlign w:val="center"/>
          </w:tcPr>
          <w:p w14:paraId="02590F68">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300</w:t>
            </w:r>
          </w:p>
        </w:tc>
        <w:tc>
          <w:tcPr>
            <w:tcW w:w="628" w:type="pct"/>
            <w:noWrap w:val="0"/>
            <w:vAlign w:val="center"/>
          </w:tcPr>
          <w:p w14:paraId="3F120D9D">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3000</w:t>
            </w:r>
          </w:p>
        </w:tc>
        <w:tc>
          <w:tcPr>
            <w:tcW w:w="665" w:type="pct"/>
            <w:noWrap w:val="0"/>
            <w:vAlign w:val="center"/>
          </w:tcPr>
          <w:p w14:paraId="3FAC7A15">
            <w:pPr>
              <w:spacing w:line="480" w:lineRule="exact"/>
              <w:jc w:val="center"/>
              <w:rPr>
                <w:rFonts w:hint="eastAsia" w:ascii="黑体" w:hAnsi="黑体" w:eastAsia="黑体" w:cs="黑体"/>
                <w:bCs/>
                <w:sz w:val="21"/>
                <w:szCs w:val="21"/>
                <w:lang w:val="en-US" w:eastAsia="zh-CN"/>
              </w:rPr>
            </w:pPr>
          </w:p>
        </w:tc>
        <w:tc>
          <w:tcPr>
            <w:tcW w:w="666" w:type="pct"/>
            <w:noWrap w:val="0"/>
            <w:vAlign w:val="center"/>
          </w:tcPr>
          <w:p w14:paraId="5528708C">
            <w:pPr>
              <w:keepNext w:val="0"/>
              <w:keepLines w:val="0"/>
              <w:widowControl/>
              <w:suppressLineNumbers w:val="0"/>
              <w:jc w:val="center"/>
              <w:textAlignment w:val="center"/>
              <w:rPr>
                <w:rFonts w:hint="eastAsia" w:ascii="黑体" w:hAnsi="黑体" w:eastAsia="黑体" w:cs="黑体"/>
                <w:bCs/>
                <w:sz w:val="21"/>
                <w:szCs w:val="21"/>
                <w:lang w:val="en-US" w:eastAsia="zh-CN"/>
              </w:rPr>
            </w:pPr>
          </w:p>
        </w:tc>
        <w:tc>
          <w:tcPr>
            <w:tcW w:w="639" w:type="pct"/>
            <w:vMerge w:val="restart"/>
            <w:noWrap w:val="0"/>
            <w:vAlign w:val="center"/>
          </w:tcPr>
          <w:p w14:paraId="7C386099">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符合施工要求标准</w:t>
            </w:r>
          </w:p>
        </w:tc>
      </w:tr>
      <w:tr w14:paraId="764A6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trPr>
        <w:tc>
          <w:tcPr>
            <w:tcW w:w="641" w:type="pct"/>
            <w:vMerge w:val="continue"/>
            <w:noWrap w:val="0"/>
            <w:vAlign w:val="center"/>
          </w:tcPr>
          <w:p w14:paraId="6D917760">
            <w:pPr>
              <w:spacing w:line="480" w:lineRule="exact"/>
              <w:jc w:val="center"/>
              <w:rPr>
                <w:rFonts w:hint="eastAsia" w:ascii="黑体" w:hAnsi="黑体" w:eastAsia="黑体" w:cs="黑体"/>
                <w:sz w:val="21"/>
                <w:szCs w:val="21"/>
                <w:lang w:val="en-US" w:eastAsia="zh-CN"/>
              </w:rPr>
            </w:pPr>
          </w:p>
        </w:tc>
        <w:tc>
          <w:tcPr>
            <w:tcW w:w="794" w:type="pct"/>
            <w:vMerge w:val="continue"/>
            <w:noWrap w:val="0"/>
            <w:vAlign w:val="center"/>
          </w:tcPr>
          <w:p w14:paraId="1AA982D0">
            <w:pPr>
              <w:spacing w:line="480" w:lineRule="exact"/>
              <w:jc w:val="center"/>
              <w:rPr>
                <w:rFonts w:hint="eastAsia" w:ascii="黑体" w:hAnsi="黑体" w:eastAsia="黑体" w:cs="黑体"/>
                <w:bCs/>
                <w:sz w:val="21"/>
                <w:szCs w:val="21"/>
                <w:lang w:val="en-US" w:eastAsia="zh-CN"/>
              </w:rPr>
            </w:pPr>
          </w:p>
        </w:tc>
        <w:tc>
          <w:tcPr>
            <w:tcW w:w="377" w:type="pct"/>
            <w:vMerge w:val="continue"/>
            <w:noWrap w:val="0"/>
            <w:vAlign w:val="center"/>
          </w:tcPr>
          <w:p w14:paraId="14BDBF57">
            <w:pPr>
              <w:spacing w:line="480" w:lineRule="exact"/>
              <w:jc w:val="center"/>
              <w:rPr>
                <w:rFonts w:hint="eastAsia" w:ascii="黑体" w:hAnsi="黑体" w:eastAsia="黑体" w:cs="黑体"/>
                <w:bCs/>
                <w:sz w:val="21"/>
                <w:szCs w:val="21"/>
                <w:lang w:val="en-US" w:eastAsia="zh-CN"/>
              </w:rPr>
            </w:pPr>
          </w:p>
        </w:tc>
        <w:tc>
          <w:tcPr>
            <w:tcW w:w="586" w:type="pct"/>
            <w:noWrap w:val="0"/>
            <w:vAlign w:val="center"/>
          </w:tcPr>
          <w:p w14:paraId="10CD8E65">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400</w:t>
            </w:r>
          </w:p>
        </w:tc>
        <w:tc>
          <w:tcPr>
            <w:tcW w:w="628" w:type="pct"/>
            <w:noWrap w:val="0"/>
            <w:vAlign w:val="center"/>
          </w:tcPr>
          <w:p w14:paraId="0078A282">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3000</w:t>
            </w:r>
          </w:p>
        </w:tc>
        <w:tc>
          <w:tcPr>
            <w:tcW w:w="665" w:type="pct"/>
            <w:noWrap w:val="0"/>
            <w:vAlign w:val="center"/>
          </w:tcPr>
          <w:p w14:paraId="39522405">
            <w:pPr>
              <w:spacing w:line="480" w:lineRule="exact"/>
              <w:jc w:val="center"/>
              <w:rPr>
                <w:rFonts w:hint="eastAsia" w:ascii="黑体" w:hAnsi="黑体" w:eastAsia="黑体" w:cs="黑体"/>
                <w:bCs/>
                <w:sz w:val="21"/>
                <w:szCs w:val="21"/>
                <w:lang w:val="en-US" w:eastAsia="zh-CN"/>
              </w:rPr>
            </w:pPr>
          </w:p>
        </w:tc>
        <w:tc>
          <w:tcPr>
            <w:tcW w:w="666" w:type="pct"/>
            <w:noWrap w:val="0"/>
            <w:vAlign w:val="center"/>
          </w:tcPr>
          <w:p w14:paraId="051F5881">
            <w:pPr>
              <w:keepNext w:val="0"/>
              <w:keepLines w:val="0"/>
              <w:widowControl/>
              <w:suppressLineNumbers w:val="0"/>
              <w:jc w:val="center"/>
              <w:textAlignment w:val="center"/>
              <w:rPr>
                <w:rFonts w:hint="eastAsia" w:ascii="黑体" w:hAnsi="黑体" w:eastAsia="黑体" w:cs="黑体"/>
                <w:bCs/>
                <w:sz w:val="21"/>
                <w:szCs w:val="21"/>
                <w:lang w:val="en-US" w:eastAsia="zh-CN"/>
              </w:rPr>
            </w:pPr>
          </w:p>
        </w:tc>
        <w:tc>
          <w:tcPr>
            <w:tcW w:w="639" w:type="pct"/>
            <w:vMerge w:val="continue"/>
            <w:noWrap w:val="0"/>
            <w:vAlign w:val="center"/>
          </w:tcPr>
          <w:p w14:paraId="687F2F5C">
            <w:pPr>
              <w:keepNext w:val="0"/>
              <w:keepLines w:val="0"/>
              <w:widowControl/>
              <w:suppressLineNumbers w:val="0"/>
              <w:jc w:val="center"/>
              <w:textAlignment w:val="center"/>
              <w:rPr>
                <w:rFonts w:hint="eastAsia" w:ascii="黑体" w:hAnsi="黑体" w:eastAsia="黑体" w:cs="黑体"/>
                <w:bCs/>
                <w:sz w:val="21"/>
                <w:szCs w:val="21"/>
                <w:lang w:val="en-US" w:eastAsia="zh-CN"/>
              </w:rPr>
            </w:pPr>
          </w:p>
        </w:tc>
      </w:tr>
      <w:tr w14:paraId="43044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trPr>
        <w:tc>
          <w:tcPr>
            <w:tcW w:w="641" w:type="pct"/>
            <w:vMerge w:val="continue"/>
            <w:noWrap w:val="0"/>
            <w:vAlign w:val="center"/>
          </w:tcPr>
          <w:p w14:paraId="45CE080E">
            <w:pPr>
              <w:spacing w:line="480" w:lineRule="exact"/>
              <w:jc w:val="center"/>
              <w:rPr>
                <w:rFonts w:hint="eastAsia" w:ascii="黑体" w:hAnsi="黑体" w:eastAsia="黑体" w:cs="黑体"/>
                <w:sz w:val="21"/>
                <w:szCs w:val="21"/>
                <w:lang w:val="en-US" w:eastAsia="zh-CN"/>
              </w:rPr>
            </w:pPr>
          </w:p>
        </w:tc>
        <w:tc>
          <w:tcPr>
            <w:tcW w:w="794" w:type="pct"/>
            <w:vMerge w:val="restart"/>
            <w:noWrap w:val="0"/>
            <w:vAlign w:val="center"/>
          </w:tcPr>
          <w:p w14:paraId="53F1C954">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管道清淤</w:t>
            </w:r>
          </w:p>
        </w:tc>
        <w:tc>
          <w:tcPr>
            <w:tcW w:w="377" w:type="pct"/>
            <w:vMerge w:val="restart"/>
            <w:noWrap w:val="0"/>
            <w:vAlign w:val="center"/>
          </w:tcPr>
          <w:p w14:paraId="3CEB5E72">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米</w:t>
            </w:r>
          </w:p>
        </w:tc>
        <w:tc>
          <w:tcPr>
            <w:tcW w:w="586" w:type="pct"/>
            <w:shd w:val="clear" w:color="auto" w:fill="auto"/>
            <w:noWrap w:val="0"/>
            <w:vAlign w:val="center"/>
          </w:tcPr>
          <w:p w14:paraId="5B4662A2">
            <w:pPr>
              <w:spacing w:line="480" w:lineRule="exact"/>
              <w:jc w:val="center"/>
              <w:rPr>
                <w:rFonts w:hint="default" w:ascii="黑体" w:hAnsi="黑体" w:eastAsia="黑体" w:cs="黑体"/>
                <w:bCs/>
                <w:kern w:val="2"/>
                <w:sz w:val="21"/>
                <w:szCs w:val="21"/>
                <w:lang w:val="en-US" w:eastAsia="zh-CN" w:bidi="ar-SA"/>
              </w:rPr>
            </w:pPr>
            <w:r>
              <w:rPr>
                <w:rFonts w:hint="eastAsia" w:ascii="黑体" w:hAnsi="黑体" w:eastAsia="黑体" w:cs="黑体"/>
                <w:bCs/>
                <w:sz w:val="21"/>
                <w:szCs w:val="21"/>
                <w:lang w:val="en-US" w:eastAsia="zh-CN"/>
              </w:rPr>
              <w:t>300</w:t>
            </w:r>
          </w:p>
        </w:tc>
        <w:tc>
          <w:tcPr>
            <w:tcW w:w="628" w:type="pct"/>
            <w:shd w:val="clear" w:color="auto" w:fill="auto"/>
            <w:noWrap w:val="0"/>
            <w:vAlign w:val="center"/>
          </w:tcPr>
          <w:p w14:paraId="5D0EABB8">
            <w:pPr>
              <w:spacing w:line="480" w:lineRule="exact"/>
              <w:jc w:val="center"/>
              <w:rPr>
                <w:rFonts w:hint="default" w:ascii="黑体" w:hAnsi="黑体" w:eastAsia="黑体" w:cs="黑体"/>
                <w:bCs/>
                <w:kern w:val="2"/>
                <w:sz w:val="21"/>
                <w:szCs w:val="21"/>
                <w:lang w:val="en-US" w:eastAsia="zh-CN" w:bidi="ar-SA"/>
              </w:rPr>
            </w:pPr>
            <w:r>
              <w:rPr>
                <w:rFonts w:hint="eastAsia" w:ascii="黑体" w:hAnsi="黑体" w:eastAsia="黑体" w:cs="黑体"/>
                <w:bCs/>
                <w:sz w:val="21"/>
                <w:szCs w:val="21"/>
                <w:lang w:val="en-US" w:eastAsia="zh-CN"/>
              </w:rPr>
              <w:t>2000</w:t>
            </w:r>
          </w:p>
        </w:tc>
        <w:tc>
          <w:tcPr>
            <w:tcW w:w="665" w:type="pct"/>
            <w:noWrap w:val="0"/>
            <w:vAlign w:val="center"/>
          </w:tcPr>
          <w:p w14:paraId="06BF394B">
            <w:pPr>
              <w:spacing w:line="480" w:lineRule="exact"/>
              <w:jc w:val="center"/>
              <w:rPr>
                <w:rFonts w:hint="eastAsia" w:ascii="黑体" w:hAnsi="黑体" w:eastAsia="黑体" w:cs="黑体"/>
                <w:bCs/>
                <w:sz w:val="21"/>
                <w:szCs w:val="21"/>
                <w:lang w:val="en-US" w:eastAsia="zh-CN"/>
              </w:rPr>
            </w:pPr>
          </w:p>
        </w:tc>
        <w:tc>
          <w:tcPr>
            <w:tcW w:w="666" w:type="pct"/>
            <w:noWrap w:val="0"/>
            <w:vAlign w:val="center"/>
          </w:tcPr>
          <w:p w14:paraId="367BAE2A">
            <w:pPr>
              <w:keepNext w:val="0"/>
              <w:keepLines w:val="0"/>
              <w:widowControl/>
              <w:suppressLineNumbers w:val="0"/>
              <w:jc w:val="center"/>
              <w:textAlignment w:val="center"/>
              <w:rPr>
                <w:rFonts w:hint="eastAsia" w:ascii="黑体" w:hAnsi="黑体" w:eastAsia="黑体" w:cs="黑体"/>
                <w:bCs/>
                <w:sz w:val="21"/>
                <w:szCs w:val="21"/>
                <w:lang w:val="en-US" w:eastAsia="zh-CN"/>
              </w:rPr>
            </w:pPr>
          </w:p>
        </w:tc>
        <w:tc>
          <w:tcPr>
            <w:tcW w:w="639" w:type="pct"/>
            <w:vMerge w:val="restart"/>
            <w:noWrap w:val="0"/>
            <w:vAlign w:val="center"/>
          </w:tcPr>
          <w:p w14:paraId="5D73EA7A">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含cctv检测</w:t>
            </w:r>
          </w:p>
        </w:tc>
      </w:tr>
      <w:tr w14:paraId="67257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trPr>
        <w:tc>
          <w:tcPr>
            <w:tcW w:w="641" w:type="pct"/>
            <w:vMerge w:val="continue"/>
            <w:noWrap w:val="0"/>
            <w:vAlign w:val="center"/>
          </w:tcPr>
          <w:p w14:paraId="24F0EFE7">
            <w:pPr>
              <w:spacing w:line="480" w:lineRule="exact"/>
              <w:jc w:val="center"/>
              <w:rPr>
                <w:rFonts w:hint="eastAsia" w:ascii="黑体" w:hAnsi="黑体" w:eastAsia="黑体" w:cs="黑体"/>
                <w:sz w:val="21"/>
                <w:szCs w:val="21"/>
                <w:lang w:val="en-US" w:eastAsia="zh-CN"/>
              </w:rPr>
            </w:pPr>
          </w:p>
        </w:tc>
        <w:tc>
          <w:tcPr>
            <w:tcW w:w="794" w:type="pct"/>
            <w:vMerge w:val="continue"/>
            <w:noWrap w:val="0"/>
            <w:vAlign w:val="center"/>
          </w:tcPr>
          <w:p w14:paraId="09E22094">
            <w:pPr>
              <w:spacing w:line="480" w:lineRule="exact"/>
              <w:jc w:val="center"/>
              <w:rPr>
                <w:rFonts w:hint="eastAsia" w:ascii="黑体" w:hAnsi="黑体" w:eastAsia="黑体" w:cs="黑体"/>
                <w:bCs/>
                <w:sz w:val="21"/>
                <w:szCs w:val="21"/>
                <w:lang w:val="en-US" w:eastAsia="zh-CN"/>
              </w:rPr>
            </w:pPr>
          </w:p>
        </w:tc>
        <w:tc>
          <w:tcPr>
            <w:tcW w:w="377" w:type="pct"/>
            <w:vMerge w:val="continue"/>
            <w:noWrap w:val="0"/>
            <w:vAlign w:val="center"/>
          </w:tcPr>
          <w:p w14:paraId="271E378D">
            <w:pPr>
              <w:spacing w:line="480" w:lineRule="exact"/>
              <w:jc w:val="center"/>
              <w:rPr>
                <w:rFonts w:hint="eastAsia" w:ascii="黑体" w:hAnsi="黑体" w:eastAsia="黑体" w:cs="黑体"/>
                <w:bCs/>
                <w:sz w:val="21"/>
                <w:szCs w:val="21"/>
                <w:lang w:val="en-US" w:eastAsia="zh-CN"/>
              </w:rPr>
            </w:pPr>
          </w:p>
        </w:tc>
        <w:tc>
          <w:tcPr>
            <w:tcW w:w="586" w:type="pct"/>
            <w:shd w:val="clear" w:color="auto" w:fill="auto"/>
            <w:noWrap w:val="0"/>
            <w:vAlign w:val="center"/>
          </w:tcPr>
          <w:p w14:paraId="735B3C50">
            <w:pPr>
              <w:spacing w:line="480" w:lineRule="exact"/>
              <w:jc w:val="center"/>
              <w:rPr>
                <w:rFonts w:hint="default" w:ascii="黑体" w:hAnsi="黑体" w:eastAsia="黑体" w:cs="黑体"/>
                <w:bCs/>
                <w:kern w:val="2"/>
                <w:sz w:val="21"/>
                <w:szCs w:val="21"/>
                <w:lang w:val="en-US" w:eastAsia="zh-CN" w:bidi="ar-SA"/>
              </w:rPr>
            </w:pPr>
            <w:r>
              <w:rPr>
                <w:rFonts w:hint="eastAsia" w:ascii="黑体" w:hAnsi="黑体" w:eastAsia="黑体" w:cs="黑体"/>
                <w:bCs/>
                <w:sz w:val="21"/>
                <w:szCs w:val="21"/>
                <w:lang w:val="en-US" w:eastAsia="zh-CN"/>
              </w:rPr>
              <w:t>400</w:t>
            </w:r>
          </w:p>
        </w:tc>
        <w:tc>
          <w:tcPr>
            <w:tcW w:w="628" w:type="pct"/>
            <w:shd w:val="clear" w:color="auto" w:fill="auto"/>
            <w:noWrap w:val="0"/>
            <w:vAlign w:val="center"/>
          </w:tcPr>
          <w:p w14:paraId="11DF7459">
            <w:pPr>
              <w:spacing w:line="480" w:lineRule="exact"/>
              <w:jc w:val="center"/>
              <w:rPr>
                <w:rFonts w:hint="default" w:ascii="黑体" w:hAnsi="黑体" w:eastAsia="黑体" w:cs="黑体"/>
                <w:bCs/>
                <w:kern w:val="2"/>
                <w:sz w:val="21"/>
                <w:szCs w:val="21"/>
                <w:lang w:val="en-US" w:eastAsia="zh-CN" w:bidi="ar-SA"/>
              </w:rPr>
            </w:pPr>
            <w:r>
              <w:rPr>
                <w:rFonts w:hint="eastAsia" w:ascii="黑体" w:hAnsi="黑体" w:eastAsia="黑体" w:cs="黑体"/>
                <w:bCs/>
                <w:sz w:val="21"/>
                <w:szCs w:val="21"/>
                <w:lang w:val="en-US" w:eastAsia="zh-CN"/>
              </w:rPr>
              <w:t>2000</w:t>
            </w:r>
          </w:p>
        </w:tc>
        <w:tc>
          <w:tcPr>
            <w:tcW w:w="665" w:type="pct"/>
            <w:noWrap w:val="0"/>
            <w:vAlign w:val="center"/>
          </w:tcPr>
          <w:p w14:paraId="3BDFFF71">
            <w:pPr>
              <w:spacing w:line="480" w:lineRule="exact"/>
              <w:jc w:val="center"/>
              <w:rPr>
                <w:rFonts w:hint="eastAsia" w:ascii="黑体" w:hAnsi="黑体" w:eastAsia="黑体" w:cs="黑体"/>
                <w:bCs/>
                <w:sz w:val="21"/>
                <w:szCs w:val="21"/>
                <w:lang w:val="en-US" w:eastAsia="zh-CN"/>
              </w:rPr>
            </w:pPr>
          </w:p>
        </w:tc>
        <w:tc>
          <w:tcPr>
            <w:tcW w:w="666" w:type="pct"/>
            <w:noWrap w:val="0"/>
            <w:vAlign w:val="center"/>
          </w:tcPr>
          <w:p w14:paraId="6DE77FFC">
            <w:pPr>
              <w:keepNext w:val="0"/>
              <w:keepLines w:val="0"/>
              <w:widowControl/>
              <w:suppressLineNumbers w:val="0"/>
              <w:jc w:val="center"/>
              <w:textAlignment w:val="center"/>
              <w:rPr>
                <w:rFonts w:hint="eastAsia" w:ascii="黑体" w:hAnsi="黑体" w:eastAsia="黑体" w:cs="黑体"/>
                <w:bCs/>
                <w:sz w:val="21"/>
                <w:szCs w:val="21"/>
                <w:lang w:val="en-US" w:eastAsia="zh-CN"/>
              </w:rPr>
            </w:pPr>
          </w:p>
        </w:tc>
        <w:tc>
          <w:tcPr>
            <w:tcW w:w="639" w:type="pct"/>
            <w:vMerge w:val="continue"/>
            <w:noWrap w:val="0"/>
            <w:vAlign w:val="center"/>
          </w:tcPr>
          <w:p w14:paraId="17D5ADA4">
            <w:pPr>
              <w:keepNext w:val="0"/>
              <w:keepLines w:val="0"/>
              <w:widowControl/>
              <w:suppressLineNumbers w:val="0"/>
              <w:jc w:val="center"/>
              <w:textAlignment w:val="center"/>
              <w:rPr>
                <w:rFonts w:hint="eastAsia" w:ascii="黑体" w:hAnsi="黑体" w:eastAsia="黑体" w:cs="黑体"/>
                <w:bCs/>
                <w:sz w:val="21"/>
                <w:szCs w:val="21"/>
                <w:lang w:val="en-US" w:eastAsia="zh-CN"/>
              </w:rPr>
            </w:pPr>
          </w:p>
        </w:tc>
      </w:tr>
      <w:tr w14:paraId="2F163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trPr>
        <w:tc>
          <w:tcPr>
            <w:tcW w:w="5000" w:type="pct"/>
            <w:gridSpan w:val="8"/>
            <w:noWrap w:val="0"/>
            <w:vAlign w:val="center"/>
          </w:tcPr>
          <w:p w14:paraId="6E93B683">
            <w:pPr>
              <w:keepNext w:val="0"/>
              <w:keepLines w:val="0"/>
              <w:widowControl/>
              <w:suppressLineNumbers w:val="0"/>
              <w:jc w:val="center"/>
              <w:textAlignment w:val="center"/>
              <w:rPr>
                <w:rFonts w:hint="default" w:ascii="黑体" w:hAnsi="黑体" w:eastAsia="黑体" w:cs="黑体"/>
                <w:bCs/>
                <w:sz w:val="21"/>
                <w:szCs w:val="21"/>
                <w:u w:val="single"/>
                <w:lang w:val="en-US" w:eastAsia="zh-CN"/>
              </w:rPr>
            </w:pPr>
            <w:r>
              <w:rPr>
                <w:rFonts w:hint="eastAsia" w:ascii="黑体" w:hAnsi="黑体" w:eastAsia="黑体" w:cs="黑体"/>
                <w:bCs/>
                <w:sz w:val="21"/>
                <w:szCs w:val="21"/>
                <w:u w:val="none"/>
                <w:lang w:val="en-US" w:eastAsia="zh-CN"/>
              </w:rPr>
              <w:t>总 价</w:t>
            </w:r>
            <w:r>
              <w:rPr>
                <w:rFonts w:hint="eastAsia" w:ascii="黑体" w:hAnsi="黑体" w:eastAsia="黑体" w:cs="黑体"/>
                <w:bCs/>
                <w:sz w:val="21"/>
                <w:szCs w:val="21"/>
                <w:u w:val="single"/>
                <w:lang w:val="en-US" w:eastAsia="zh-CN"/>
              </w:rPr>
              <w:t xml:space="preserve">         </w:t>
            </w:r>
            <w:r>
              <w:rPr>
                <w:rFonts w:hint="eastAsia" w:ascii="黑体" w:hAnsi="黑体" w:eastAsia="黑体" w:cs="黑体"/>
                <w:bCs/>
                <w:sz w:val="21"/>
                <w:szCs w:val="21"/>
                <w:u w:val="none"/>
                <w:lang w:val="en-US" w:eastAsia="zh-CN"/>
              </w:rPr>
              <w:t>元，含</w:t>
            </w:r>
            <w:r>
              <w:rPr>
                <w:rFonts w:hint="eastAsia" w:ascii="黑体" w:hAnsi="黑体" w:eastAsia="黑体" w:cs="黑体"/>
                <w:bCs/>
                <w:sz w:val="21"/>
                <w:szCs w:val="21"/>
                <w:u w:val="single"/>
                <w:lang w:val="en-US" w:eastAsia="zh-CN"/>
              </w:rPr>
              <w:t xml:space="preserve">    % </w:t>
            </w:r>
            <w:r>
              <w:rPr>
                <w:rFonts w:hint="eastAsia" w:ascii="黑体" w:hAnsi="黑体" w:eastAsia="黑体" w:cs="黑体"/>
                <w:bCs/>
                <w:sz w:val="21"/>
                <w:szCs w:val="21"/>
                <w:u w:val="none"/>
                <w:lang w:val="en-US" w:eastAsia="zh-CN"/>
              </w:rPr>
              <w:t xml:space="preserve">增值税专用发票  </w:t>
            </w:r>
            <w:r>
              <w:rPr>
                <w:rFonts w:hint="eastAsia" w:ascii="黑体" w:hAnsi="黑体" w:eastAsia="黑体" w:cs="黑体"/>
                <w:bCs/>
                <w:sz w:val="21"/>
                <w:szCs w:val="21"/>
                <w:u w:val="single"/>
                <w:lang w:val="en-US" w:eastAsia="zh-CN"/>
              </w:rPr>
              <w:t xml:space="preserve">            </w:t>
            </w:r>
            <w:r>
              <w:rPr>
                <w:rFonts w:hint="eastAsia" w:ascii="黑体" w:hAnsi="黑体" w:eastAsia="黑体" w:cs="黑体"/>
                <w:bCs/>
                <w:sz w:val="21"/>
                <w:szCs w:val="21"/>
                <w:u w:val="none"/>
                <w:lang w:val="en-US" w:eastAsia="zh-CN"/>
              </w:rPr>
              <w:t xml:space="preserve">   </w:t>
            </w:r>
          </w:p>
        </w:tc>
      </w:tr>
    </w:tbl>
    <w:p w14:paraId="11ADC436">
      <w:pPr>
        <w:spacing w:line="480" w:lineRule="exact"/>
        <w:jc w:val="center"/>
        <w:rPr>
          <w:rFonts w:hint="eastAsia" w:ascii="黑体" w:hAnsi="黑体" w:eastAsia="黑体" w:cs="黑体"/>
          <w:bCs/>
          <w:sz w:val="36"/>
          <w:szCs w:val="36"/>
          <w:lang w:eastAsia="zh-CN"/>
        </w:rPr>
      </w:pPr>
    </w:p>
    <w:p w14:paraId="4654E8DB">
      <w:pPr>
        <w:spacing w:line="480" w:lineRule="exact"/>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val="en-US" w:eastAsia="zh-CN"/>
        </w:rPr>
        <w:t>以单价*</w:t>
      </w:r>
      <w:r>
        <w:rPr>
          <w:rFonts w:hint="eastAsia" w:ascii="楷体_GB2312" w:hAnsi="楷体_GB2312" w:eastAsia="黑体" w:cs="楷体_GB2312"/>
          <w:bCs/>
          <w:sz w:val="28"/>
          <w:szCs w:val="28"/>
          <w:lang w:eastAsia="zh-CN"/>
        </w:rPr>
        <w:t>实际工程量结算</w:t>
      </w:r>
    </w:p>
    <w:p w14:paraId="687D85FC">
      <w:pPr>
        <w:spacing w:line="480" w:lineRule="exact"/>
        <w:jc w:val="both"/>
        <w:rPr>
          <w:rFonts w:hint="eastAsia" w:ascii="黑体" w:hAnsi="黑体" w:eastAsia="黑体" w:cs="黑体"/>
          <w:bCs/>
          <w:sz w:val="36"/>
          <w:szCs w:val="36"/>
          <w:lang w:eastAsia="zh-CN"/>
        </w:rPr>
      </w:pPr>
    </w:p>
    <w:p w14:paraId="15CB1C3B">
      <w:pPr>
        <w:spacing w:line="480" w:lineRule="exact"/>
        <w:ind w:firstLine="560" w:firstLineChars="200"/>
        <w:rPr>
          <w:rFonts w:hint="eastAsia" w:ascii="楷体_GB2312" w:hAnsi="楷体_GB2312" w:eastAsia="黑体" w:cs="楷体_GB2312"/>
          <w:bCs/>
          <w:sz w:val="28"/>
          <w:szCs w:val="28"/>
          <w:lang w:eastAsia="zh-CN"/>
        </w:rPr>
      </w:pPr>
    </w:p>
    <w:p w14:paraId="33D52D9A">
      <w:pPr>
        <w:spacing w:line="480" w:lineRule="exact"/>
        <w:rPr>
          <w:rFonts w:hint="eastAsia" w:ascii="黑体" w:hAnsi="黑体" w:eastAsia="黑体" w:cs="黑体"/>
          <w:bCs/>
          <w:sz w:val="28"/>
          <w:szCs w:val="28"/>
          <w:lang w:val="en-US" w:eastAsia="zh-CN"/>
        </w:rPr>
      </w:pPr>
    </w:p>
    <w:p w14:paraId="44A69245">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14:paraId="5813EC1F">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14:paraId="33A9C297">
      <w:pPr>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年    月    日</w:t>
      </w:r>
    </w:p>
    <w:p w14:paraId="5D4F7B1D">
      <w:pPr>
        <w:spacing w:line="480" w:lineRule="exact"/>
        <w:jc w:val="left"/>
        <w:rPr>
          <w:rFonts w:hint="default" w:ascii="黑体" w:hAnsi="黑体" w:eastAsia="黑体" w:cs="黑体"/>
          <w:bCs/>
          <w:sz w:val="28"/>
          <w:szCs w:val="28"/>
          <w:lang w:val="en-US" w:eastAsia="zh-CN"/>
        </w:rPr>
      </w:pPr>
    </w:p>
    <w:p w14:paraId="38486857">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14:paraId="4E156A25">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14:paraId="5D8C5C2C">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14:paraId="427D63A2">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14:paraId="1960E801">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14:paraId="1E4A7ABC">
      <w:pPr>
        <w:spacing w:line="480" w:lineRule="exact"/>
        <w:ind w:firstLine="560"/>
        <w:jc w:val="left"/>
        <w:rPr>
          <w:rFonts w:hint="eastAsia" w:ascii="黑体" w:hAnsi="黑体" w:eastAsia="黑体" w:cs="黑体"/>
          <w:sz w:val="28"/>
          <w:szCs w:val="28"/>
          <w:lang w:val="en-US" w:eastAsia="zh-CN"/>
        </w:rPr>
      </w:pPr>
    </w:p>
    <w:p w14:paraId="2E2ECC10">
      <w:pPr>
        <w:spacing w:line="480" w:lineRule="exact"/>
        <w:ind w:firstLine="560"/>
        <w:jc w:val="left"/>
        <w:rPr>
          <w:rFonts w:hint="eastAsia" w:ascii="黑体" w:hAnsi="黑体" w:eastAsia="黑体" w:cs="黑体"/>
          <w:sz w:val="28"/>
          <w:szCs w:val="28"/>
          <w:lang w:val="en-US" w:eastAsia="zh-CN"/>
        </w:rPr>
      </w:pPr>
    </w:p>
    <w:p w14:paraId="6128DEF5">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14:paraId="21013D9D">
      <w:pPr>
        <w:spacing w:line="480" w:lineRule="exact"/>
        <w:ind w:firstLine="560"/>
        <w:jc w:val="righ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14:paraId="632C8761">
      <w:pPr>
        <w:spacing w:line="480" w:lineRule="exact"/>
        <w:jc w:val="both"/>
        <w:rPr>
          <w:rFonts w:hint="eastAsia" w:ascii="黑体" w:hAnsi="黑体" w:eastAsia="黑体" w:cs="黑体"/>
          <w:sz w:val="28"/>
          <w:szCs w:val="28"/>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p>
    <w:p w14:paraId="78DE45FF">
      <w:pPr>
        <w:bidi w:val="0"/>
        <w:jc w:val="left"/>
        <w:rPr>
          <w:rFonts w:hint="default"/>
          <w:lang w:val="en-US" w:eastAsia="zh-CN"/>
        </w:rPr>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6D58C6">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B74D13">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A3D1F0">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BE2F38">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F1817">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A2AFDF">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253EAD"/>
    <w:multiLevelType w:val="singleLevel"/>
    <w:tmpl w:val="22253EA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BmZTI4YjQ1OGUyOTQ0N2RiYTgyMzM1OWNkNjM2OTIifQ=="/>
  </w:docVars>
  <w:rsids>
    <w:rsidRoot w:val="00000000"/>
    <w:rsid w:val="01E940B6"/>
    <w:rsid w:val="093A3D20"/>
    <w:rsid w:val="123B44DB"/>
    <w:rsid w:val="15047C0E"/>
    <w:rsid w:val="1B1A3D72"/>
    <w:rsid w:val="22496AA9"/>
    <w:rsid w:val="23BE366C"/>
    <w:rsid w:val="25016986"/>
    <w:rsid w:val="26CB7B8B"/>
    <w:rsid w:val="26D03093"/>
    <w:rsid w:val="282547DB"/>
    <w:rsid w:val="2BDB7F3A"/>
    <w:rsid w:val="2C2179E7"/>
    <w:rsid w:val="2C563E8D"/>
    <w:rsid w:val="2EC11F71"/>
    <w:rsid w:val="342F034B"/>
    <w:rsid w:val="39CD293D"/>
    <w:rsid w:val="3B0F003B"/>
    <w:rsid w:val="3D133366"/>
    <w:rsid w:val="3FD748AC"/>
    <w:rsid w:val="42DB2E65"/>
    <w:rsid w:val="44337892"/>
    <w:rsid w:val="45737EAE"/>
    <w:rsid w:val="47187195"/>
    <w:rsid w:val="47C562E2"/>
    <w:rsid w:val="48244842"/>
    <w:rsid w:val="4A4C0961"/>
    <w:rsid w:val="50EE52D5"/>
    <w:rsid w:val="557821C2"/>
    <w:rsid w:val="55787FC2"/>
    <w:rsid w:val="574507F7"/>
    <w:rsid w:val="57671164"/>
    <w:rsid w:val="5A547995"/>
    <w:rsid w:val="5FE64881"/>
    <w:rsid w:val="67A759D1"/>
    <w:rsid w:val="69CB37D4"/>
    <w:rsid w:val="6ABF0CA7"/>
    <w:rsid w:val="6B0609B5"/>
    <w:rsid w:val="6BE94F83"/>
    <w:rsid w:val="6D901EFF"/>
    <w:rsid w:val="6E65699A"/>
    <w:rsid w:val="72D36C77"/>
    <w:rsid w:val="7557656C"/>
    <w:rsid w:val="7B4D0916"/>
    <w:rsid w:val="7C2101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autoRedefine/>
    <w:unhideWhenUsed/>
    <w:qFormat/>
    <w:uiPriority w:val="1"/>
  </w:style>
  <w:style w:type="table" w:default="1" w:styleId="11">
    <w:name w:val="Normal Table"/>
    <w:autoRedefine/>
    <w:unhideWhenUsed/>
    <w:qFormat/>
    <w:uiPriority w:val="99"/>
    <w:tblPr>
      <w:tblCellMar>
        <w:top w:w="0" w:type="dxa"/>
        <w:left w:w="108" w:type="dxa"/>
        <w:bottom w:w="0" w:type="dxa"/>
        <w:right w:w="108" w:type="dxa"/>
      </w:tblCellMar>
    </w:tblPr>
  </w:style>
  <w:style w:type="paragraph" w:styleId="6">
    <w:name w:val="Normal Indent"/>
    <w:basedOn w:val="1"/>
    <w:autoRedefine/>
    <w:qFormat/>
    <w:uiPriority w:val="0"/>
    <w:pPr>
      <w:ind w:firstLine="420" w:firstLineChars="200"/>
    </w:pPr>
    <w:rPr>
      <w:rFonts w:ascii="Calibri" w:hAnsi="Calibri" w:eastAsia="仿宋"/>
      <w:sz w:val="32"/>
    </w:rPr>
  </w:style>
  <w:style w:type="paragraph" w:styleId="7">
    <w:name w:val="Body Text Indent"/>
    <w:basedOn w:val="1"/>
    <w:next w:val="6"/>
    <w:autoRedefine/>
    <w:qFormat/>
    <w:uiPriority w:val="0"/>
    <w:pPr>
      <w:spacing w:after="120"/>
      <w:ind w:left="420" w:leftChars="200"/>
    </w:pPr>
    <w:rPr>
      <w:rFonts w:eastAsia="宋体" w:cs="Times New Roman"/>
      <w:sz w:val="21"/>
    </w:rPr>
  </w:style>
  <w:style w:type="paragraph" w:styleId="8">
    <w:name w:val="footer"/>
    <w:basedOn w:val="1"/>
    <w:autoRedefine/>
    <w:qFormat/>
    <w:uiPriority w:val="0"/>
    <w:pPr>
      <w:tabs>
        <w:tab w:val="center" w:pos="4153"/>
        <w:tab w:val="right" w:pos="8306"/>
      </w:tabs>
      <w:snapToGrid w:val="0"/>
      <w:jc w:val="left"/>
    </w:pPr>
    <w:rPr>
      <w:sz w:val="18"/>
    </w:rPr>
  </w:style>
  <w:style w:type="paragraph" w:styleId="9">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Body Text First Indent 2"/>
    <w:basedOn w:val="7"/>
    <w:autoRedefine/>
    <w:qFormat/>
    <w:uiPriority w:val="0"/>
    <w:pPr>
      <w:ind w:firstLine="420" w:firstLineChars="200"/>
    </w:pPr>
    <w:rPr>
      <w:szCs w:val="24"/>
    </w:rPr>
  </w:style>
  <w:style w:type="table" w:styleId="12">
    <w:name w:val="Table Grid"/>
    <w:basedOn w:val="11"/>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Body text|1"/>
    <w:basedOn w:val="1"/>
    <w:autoRedefine/>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5</Pages>
  <Words>894</Words>
  <Characters>978</Characters>
  <Lines>8</Lines>
  <Paragraphs>2</Paragraphs>
  <TotalTime>8</TotalTime>
  <ScaleCrop>false</ScaleCrop>
  <LinksUpToDate>false</LinksUpToDate>
  <CharactersWithSpaces>1089</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开拓者</cp:lastModifiedBy>
  <cp:lastPrinted>2024-08-27T02:20:00Z</cp:lastPrinted>
  <dcterms:modified xsi:type="dcterms:W3CDTF">2024-08-29T06:57:05Z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F9539E18A9474EA797072068B11D6780_13</vt:lpwstr>
  </property>
</Properties>
</file>