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6D843F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会昌县德欣教育科技有限公司关于会昌县体育中心游泳场、大步田全民健身活动中心室内馆经营权的询价公告</w:t>
      </w:r>
    </w:p>
    <w:p w14:paraId="37EABB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</w:p>
    <w:p w14:paraId="361624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一、项目概况</w:t>
      </w:r>
    </w:p>
    <w:p w14:paraId="4FE707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我公司企业资产会昌县体育中心游泳场、大步田全民健身活动中心，根据《中华人民共和国政府采购法》等有关规定，现对该企业资产经营权进行市场询价，欢迎国内符合条件的供应商参与报价。</w:t>
      </w:r>
    </w:p>
    <w:p w14:paraId="25027D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（一）会昌县体育中心游泳场</w:t>
      </w:r>
    </w:p>
    <w:p w14:paraId="4B1349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游泳场座落在会昌县同济大道会昌中学旁，总建筑面积：978.70 ㎡，场馆内有男女洗浴间，可经营泳衣售卖及食品、点心和各种饮料等及现做现卖业务，游泳池宽20m*长50m。</w:t>
      </w:r>
    </w:p>
    <w:p w14:paraId="432C2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（二）大步田全民健身活动中心</w:t>
      </w:r>
    </w:p>
    <w:p w14:paraId="234DC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全民健身活动中心座落在大步田第五中学旁，总建筑面积6940.87㎡。室外2个篮球场、室外3个排球场均对外免费开放，室内一楼恒温游泳场宽20m*长25m、二楼兵乓球馆、三楼羽毛球馆及室内篮球场，三楼办公室4间，总监控室1间，每层楼均有公共男女卫生间。</w:t>
      </w:r>
    </w:p>
    <w:p w14:paraId="4E958E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二、基本条件</w:t>
      </w:r>
    </w:p>
    <w:p w14:paraId="0A75C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1、会昌县体育中心游泳场</w:t>
      </w:r>
    </w:p>
    <w:p w14:paraId="0FDF15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1）具有有效的营业执照、高危性体育项目许可证、卫生许可证；</w:t>
      </w:r>
    </w:p>
    <w:p w14:paraId="263875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2）需要提供救生员、教练员资质证明</w:t>
      </w:r>
    </w:p>
    <w:p w14:paraId="379FB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2、大步田全民健身活动中心</w:t>
      </w:r>
    </w:p>
    <w:p w14:paraId="315E56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具有有效的营业执照、体育项目许可证、安全合格证书</w:t>
      </w:r>
    </w:p>
    <w:p w14:paraId="671F6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三、经营原则</w:t>
      </w:r>
    </w:p>
    <w:p w14:paraId="6AFD7F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1.场地可实行包时段消费</w:t>
      </w:r>
    </w:p>
    <w:p w14:paraId="794AA2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为体育爱好者提供标准的练习场地,并按时间收取一定的费用。</w:t>
      </w:r>
    </w:p>
    <w:p w14:paraId="794D6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2.会员制消费</w:t>
      </w:r>
    </w:p>
    <w:p w14:paraId="7EABE1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商家可根据自身经营理念制定会员制度，进行本区域的收费服务、会员办理以及物品的寄存服务等。</w:t>
      </w:r>
    </w:p>
    <w:p w14:paraId="1144E8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3.定期组织业余及专业比赛</w:t>
      </w:r>
    </w:p>
    <w:p w14:paraId="6CC58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可组织业余比赛,不但可以满足许多爱好者的要求,还可以提升商家的收入,激发体育爱好者的练习热情,促进场馆的整体发展,以带动和影响更多的体育爱好者。</w:t>
      </w:r>
    </w:p>
    <w:p w14:paraId="2B385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可在场馆入口处设置体育用品专卖和服务休息厅，向爱好者提供各种自身经营场馆相关的体育用品服务，主要包括球拍、球鞋、球衣等、也提供体育书籍、音像制品等各种服务,满足不同爱好者的各种需要出发。服务休息厅零卖是提供一个优雅、舒适的环境,配合一些食品、点心、各类饮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及现做现卖业务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等,为爱好者做到更周全的服务。</w:t>
      </w:r>
    </w:p>
    <w:p w14:paraId="1E0D2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4、每年8月8日需对外免费开放，场馆的所有商业项目均只能是在没有赛事安排的情况下运营，遇有赛事、活动安排场馆内的商业运作行为均需停止。</w:t>
      </w:r>
    </w:p>
    <w:p w14:paraId="27EF5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四、管理制度</w:t>
      </w:r>
    </w:p>
    <w:p w14:paraId="0B925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(1)所有进馆人员均须遵守体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育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馆的管理规定，服从管理。</w:t>
      </w:r>
    </w:p>
    <w:p w14:paraId="570F5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(2)注意公共卫生，严禁场内吸烟，不得随地吐痰，饮料瓶和杂物请自觉丢在垃圾桶内。</w:t>
      </w:r>
    </w:p>
    <w:p w14:paraId="36A0E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(3)雨雪天进馆内，所有雨具必须放在指定地点，不得带入场馆。</w:t>
      </w:r>
    </w:p>
    <w:p w14:paraId="70B7E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(4)爱护馆内及办公室设施、器材和其它物品，如有人为损坏，照价赔偿并按国体中心有关规定处理。</w:t>
      </w:r>
    </w:p>
    <w:p w14:paraId="45461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(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)保持馆内清洁卫生，每天进行长规性打扫确保运营顺利进行。</w:t>
      </w:r>
    </w:p>
    <w:p w14:paraId="4B012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(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6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)严禁携带具有可燃可爆性、腐蚀性、污染性危险物品进场。</w:t>
      </w:r>
    </w:p>
    <w:p w14:paraId="4A2AE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(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7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)请保管好自己的随身物品，出入场馆注意安全，防止意外事件的发生。如有发生，责任自负。</w:t>
      </w:r>
    </w:p>
    <w:p w14:paraId="03F94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(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8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)管理人员离开时，必须切断电源，关门落锁。</w:t>
      </w:r>
    </w:p>
    <w:p w14:paraId="0EEFA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(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9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)体育馆管理人员必须严格履行规章制度。</w:t>
      </w:r>
    </w:p>
    <w:p w14:paraId="17A50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（10）水电费按实表自行支付给供电、供水部门</w:t>
      </w:r>
    </w:p>
    <w:p w14:paraId="2551C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五、租赁费用</w:t>
      </w:r>
    </w:p>
    <w:tbl>
      <w:tblPr>
        <w:tblStyle w:val="5"/>
        <w:tblW w:w="82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3076"/>
        <w:gridCol w:w="1312"/>
        <w:gridCol w:w="1800"/>
        <w:gridCol w:w="1474"/>
      </w:tblGrid>
      <w:tr w14:paraId="08D32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4" w:type="dxa"/>
            <w:vAlign w:val="center"/>
          </w:tcPr>
          <w:p w14:paraId="2E79D7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076" w:type="dxa"/>
            <w:vAlign w:val="center"/>
          </w:tcPr>
          <w:p w14:paraId="17915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场地</w:t>
            </w:r>
          </w:p>
        </w:tc>
        <w:tc>
          <w:tcPr>
            <w:tcW w:w="1312" w:type="dxa"/>
            <w:vAlign w:val="center"/>
          </w:tcPr>
          <w:p w14:paraId="0D223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面积（㎡）</w:t>
            </w:r>
          </w:p>
        </w:tc>
        <w:tc>
          <w:tcPr>
            <w:tcW w:w="1800" w:type="dxa"/>
            <w:vAlign w:val="center"/>
          </w:tcPr>
          <w:p w14:paraId="23971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租赁费用（元/㎡/月）</w:t>
            </w:r>
          </w:p>
        </w:tc>
        <w:tc>
          <w:tcPr>
            <w:tcW w:w="1474" w:type="dxa"/>
            <w:vAlign w:val="center"/>
          </w:tcPr>
          <w:p w14:paraId="6504D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租赁费用（元/月）</w:t>
            </w:r>
          </w:p>
        </w:tc>
      </w:tr>
      <w:tr w14:paraId="37210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4" w:type="dxa"/>
            <w:vAlign w:val="center"/>
          </w:tcPr>
          <w:p w14:paraId="47BC0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076" w:type="dxa"/>
            <w:vAlign w:val="center"/>
          </w:tcPr>
          <w:p w14:paraId="4165C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会昌县体育中心游泳场</w:t>
            </w:r>
          </w:p>
        </w:tc>
        <w:tc>
          <w:tcPr>
            <w:tcW w:w="1312" w:type="dxa"/>
            <w:vAlign w:val="center"/>
          </w:tcPr>
          <w:p w14:paraId="404E2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978.70</w:t>
            </w:r>
          </w:p>
        </w:tc>
        <w:tc>
          <w:tcPr>
            <w:tcW w:w="1800" w:type="dxa"/>
            <w:vAlign w:val="center"/>
          </w:tcPr>
          <w:p w14:paraId="4C63A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4" w:type="dxa"/>
            <w:vAlign w:val="center"/>
          </w:tcPr>
          <w:p w14:paraId="3C8E8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4C9E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4" w:type="dxa"/>
            <w:vAlign w:val="center"/>
          </w:tcPr>
          <w:p w14:paraId="11E72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076" w:type="dxa"/>
            <w:vAlign w:val="center"/>
          </w:tcPr>
          <w:p w14:paraId="0BC8B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大步田全民健身活动中心</w:t>
            </w:r>
          </w:p>
        </w:tc>
        <w:tc>
          <w:tcPr>
            <w:tcW w:w="1312" w:type="dxa"/>
            <w:vAlign w:val="center"/>
          </w:tcPr>
          <w:p w14:paraId="382E6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6150.87</w:t>
            </w:r>
          </w:p>
        </w:tc>
        <w:tc>
          <w:tcPr>
            <w:tcW w:w="1800" w:type="dxa"/>
            <w:vAlign w:val="center"/>
          </w:tcPr>
          <w:p w14:paraId="73D45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4" w:type="dxa"/>
            <w:vAlign w:val="center"/>
          </w:tcPr>
          <w:p w14:paraId="49385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1502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六、其他补充事宜</w:t>
      </w:r>
    </w:p>
    <w:p w14:paraId="18648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1、我公司对供应商报价不作书面回复。</w:t>
      </w:r>
    </w:p>
    <w:p w14:paraId="56E5B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2、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各供应商应参按照附件格式填写形成报价文件，可根据自身情况选择按</w:t>
      </w:r>
      <w:r>
        <w:rPr>
          <w:rFonts w:hint="eastAsia" w:ascii="仿宋" w:hAnsi="仿宋" w:eastAsia="仿宋" w:cs="仿宋"/>
          <w:b/>
          <w:bCs/>
          <w:sz w:val="28"/>
          <w:szCs w:val="28"/>
          <w:vertAlign w:val="baseline"/>
          <w:lang w:val="en-US" w:eastAsia="zh-CN"/>
        </w:rPr>
        <w:t>元/㎡/月或元/月报价，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如有其它需要说明的事项可备注加以说明。</w:t>
      </w:r>
    </w:p>
    <w:p w14:paraId="4854E4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7、请各供应商于2024年07月29</w:t>
      </w:r>
      <w:bookmarkStart w:id="9" w:name="_GoBack"/>
      <w:bookmarkEnd w:id="9"/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日上午17:30前按附件格式（自行下载）要求将报价单、营业执照（须加盖公章）等相关资料提交至会昌县德欣教育科技有限公司项目工程部，或通过邮件方式发送至公司邮箱：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instrText xml:space="preserve"> HYPERLINK "mailto:dxjy5677488@163.com" </w:instrTex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fldChar w:fldCharType="separate"/>
      </w:r>
      <w:r>
        <w:rPr>
          <w:rStyle w:val="7"/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dxjy5677488@163.com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fldChar w:fldCharType="end"/>
      </w:r>
    </w:p>
    <w:p w14:paraId="474BA9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CN"/>
        </w:rPr>
      </w:pPr>
    </w:p>
    <w:p w14:paraId="61FFD6E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CN"/>
        </w:rPr>
      </w:pPr>
    </w:p>
    <w:p w14:paraId="38AFA3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</w:p>
    <w:p w14:paraId="5343E0A2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</w:p>
    <w:p w14:paraId="59C09854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</w:p>
    <w:p w14:paraId="0CB2FD3A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</w:p>
    <w:p w14:paraId="32A84182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</w:p>
    <w:p w14:paraId="01D4CA6A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</w:p>
    <w:p w14:paraId="2828C21A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</w:p>
    <w:p w14:paraId="796BCA1A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6534A1E1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4C794C09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22F944CE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EFFF785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DD7766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529CF20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DA0F6E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4E89781">
      <w:pPr>
        <w:rPr>
          <w:rFonts w:hint="eastAsia" w:ascii="仿宋" w:hAnsi="仿宋" w:eastAsia="仿宋" w:cs="仿宋"/>
        </w:rPr>
      </w:pPr>
    </w:p>
    <w:p w14:paraId="63BA5478">
      <w:pPr>
        <w:rPr>
          <w:rFonts w:hint="eastAsia" w:ascii="仿宋" w:hAnsi="仿宋" w:eastAsia="仿宋" w:cs="仿宋"/>
        </w:rPr>
      </w:pPr>
    </w:p>
    <w:p w14:paraId="2D7F532F">
      <w:pPr>
        <w:rPr>
          <w:rFonts w:hint="eastAsia" w:ascii="仿宋" w:hAnsi="仿宋" w:eastAsia="仿宋" w:cs="仿宋"/>
        </w:rPr>
      </w:pPr>
    </w:p>
    <w:p w14:paraId="56CF1C1B">
      <w:pPr>
        <w:jc w:val="center"/>
        <w:rPr>
          <w:rFonts w:hint="eastAsia" w:ascii="仿宋" w:hAnsi="仿宋" w:eastAsia="仿宋" w:cs="仿宋"/>
        </w:rPr>
      </w:pPr>
    </w:p>
    <w:p w14:paraId="463E765C">
      <w:pPr>
        <w:jc w:val="center"/>
        <w:rPr>
          <w:rFonts w:hint="eastAsia" w:ascii="仿宋" w:hAnsi="仿宋" w:eastAsia="仿宋" w:cs="仿宋"/>
        </w:rPr>
      </w:pPr>
    </w:p>
    <w:p w14:paraId="60EBDF2B">
      <w:pPr>
        <w:jc w:val="center"/>
        <w:rPr>
          <w:rFonts w:hint="eastAsia" w:ascii="仿宋" w:hAnsi="仿宋" w:eastAsia="仿宋" w:cs="仿宋"/>
        </w:rPr>
      </w:pPr>
    </w:p>
    <w:p w14:paraId="421E46BE">
      <w:pPr>
        <w:jc w:val="center"/>
        <w:rPr>
          <w:rFonts w:hint="eastAsia" w:ascii="仿宋" w:hAnsi="仿宋" w:eastAsia="仿宋" w:cs="仿宋"/>
        </w:rPr>
      </w:pPr>
    </w:p>
    <w:p w14:paraId="5CA18A32">
      <w:pPr>
        <w:jc w:val="center"/>
        <w:rPr>
          <w:rFonts w:hint="eastAsia" w:ascii="仿宋" w:hAnsi="仿宋" w:eastAsia="仿宋" w:cs="仿宋"/>
        </w:rPr>
      </w:pPr>
    </w:p>
    <w:p w14:paraId="3B61661C">
      <w:pPr>
        <w:jc w:val="center"/>
        <w:rPr>
          <w:rFonts w:hint="eastAsia" w:ascii="仿宋" w:hAnsi="仿宋" w:eastAsia="仿宋" w:cs="仿宋"/>
        </w:rPr>
      </w:pPr>
    </w:p>
    <w:p w14:paraId="2148434E">
      <w:pPr>
        <w:jc w:val="center"/>
        <w:rPr>
          <w:rFonts w:hint="eastAsia" w:ascii="仿宋" w:hAnsi="仿宋" w:eastAsia="仿宋" w:cs="仿宋"/>
        </w:rPr>
      </w:pPr>
    </w:p>
    <w:p w14:paraId="6B48F818">
      <w:pPr>
        <w:jc w:val="center"/>
        <w:rPr>
          <w:rFonts w:hint="eastAsia" w:ascii="仿宋" w:hAnsi="仿宋" w:eastAsia="仿宋" w:cs="仿宋"/>
        </w:rPr>
      </w:pPr>
    </w:p>
    <w:p w14:paraId="44F87011">
      <w:pPr>
        <w:jc w:val="center"/>
        <w:rPr>
          <w:rFonts w:hint="eastAsia" w:ascii="仿宋" w:hAnsi="仿宋" w:eastAsia="仿宋" w:cs="仿宋"/>
        </w:rPr>
      </w:pPr>
    </w:p>
    <w:p w14:paraId="681C81A4">
      <w:pPr>
        <w:jc w:val="center"/>
        <w:rPr>
          <w:rFonts w:hint="eastAsia" w:ascii="仿宋" w:hAnsi="仿宋" w:eastAsia="仿宋" w:cs="仿宋"/>
        </w:rPr>
      </w:pPr>
    </w:p>
    <w:p w14:paraId="3FD92CA9">
      <w:pPr>
        <w:jc w:val="center"/>
        <w:rPr>
          <w:rFonts w:hint="eastAsia" w:ascii="仿宋" w:hAnsi="仿宋" w:eastAsia="仿宋" w:cs="仿宋"/>
        </w:rPr>
      </w:pPr>
    </w:p>
    <w:p w14:paraId="3C580748">
      <w:pPr>
        <w:jc w:val="center"/>
        <w:rPr>
          <w:rFonts w:hint="eastAsia" w:ascii="仿宋" w:hAnsi="仿宋" w:eastAsia="仿宋" w:cs="仿宋"/>
        </w:rPr>
      </w:pPr>
    </w:p>
    <w:p w14:paraId="00A539E7">
      <w:pPr>
        <w:jc w:val="center"/>
        <w:rPr>
          <w:rFonts w:hint="eastAsia" w:ascii="仿宋" w:hAnsi="仿宋" w:eastAsia="仿宋" w:cs="仿宋"/>
        </w:rPr>
      </w:pPr>
    </w:p>
    <w:p w14:paraId="4D49E357">
      <w:pPr>
        <w:jc w:val="center"/>
        <w:rPr>
          <w:rFonts w:hint="eastAsia" w:ascii="仿宋" w:hAnsi="仿宋" w:eastAsia="仿宋" w:cs="仿宋"/>
        </w:rPr>
      </w:pPr>
    </w:p>
    <w:p w14:paraId="0D014E14">
      <w:pPr>
        <w:jc w:val="center"/>
        <w:rPr>
          <w:rFonts w:hint="eastAsia" w:ascii="仿宋" w:hAnsi="仿宋" w:eastAsia="仿宋" w:cs="仿宋"/>
        </w:rPr>
      </w:pPr>
    </w:p>
    <w:p w14:paraId="0672868B">
      <w:pPr>
        <w:jc w:val="center"/>
        <w:rPr>
          <w:rFonts w:hint="eastAsia" w:ascii="仿宋" w:hAnsi="仿宋" w:eastAsia="仿宋" w:cs="仿宋"/>
        </w:rPr>
      </w:pPr>
    </w:p>
    <w:p w14:paraId="3A6D1244">
      <w:pPr>
        <w:jc w:val="center"/>
        <w:rPr>
          <w:rFonts w:hint="eastAsia" w:ascii="仿宋" w:hAnsi="仿宋" w:eastAsia="仿宋" w:cs="仿宋"/>
        </w:rPr>
      </w:pPr>
    </w:p>
    <w:p w14:paraId="4516D835">
      <w:pPr>
        <w:jc w:val="center"/>
        <w:rPr>
          <w:rFonts w:hint="eastAsia" w:ascii="仿宋" w:hAnsi="仿宋" w:eastAsia="仿宋" w:cs="仿宋"/>
        </w:rPr>
      </w:pPr>
    </w:p>
    <w:p w14:paraId="5C5F782B">
      <w:pPr>
        <w:jc w:val="center"/>
        <w:rPr>
          <w:rFonts w:hint="eastAsia" w:ascii="仿宋" w:hAnsi="仿宋" w:eastAsia="仿宋" w:cs="仿宋"/>
        </w:rPr>
      </w:pPr>
    </w:p>
    <w:p w14:paraId="1FF71D24">
      <w:pPr>
        <w:jc w:val="center"/>
        <w:rPr>
          <w:rFonts w:hint="eastAsia" w:ascii="仿宋" w:hAnsi="仿宋" w:eastAsia="仿宋" w:cs="仿宋"/>
        </w:rPr>
      </w:pPr>
    </w:p>
    <w:p w14:paraId="3001977F">
      <w:pPr>
        <w:jc w:val="center"/>
        <w:rPr>
          <w:rFonts w:hint="eastAsia" w:ascii="仿宋" w:hAnsi="仿宋" w:eastAsia="仿宋" w:cs="仿宋"/>
        </w:rPr>
      </w:pPr>
    </w:p>
    <w:p w14:paraId="6A620CE7">
      <w:pPr>
        <w:jc w:val="center"/>
        <w:rPr>
          <w:rFonts w:hint="eastAsia" w:ascii="仿宋" w:hAnsi="仿宋" w:eastAsia="仿宋" w:cs="仿宋"/>
        </w:rPr>
      </w:pPr>
    </w:p>
    <w:p w14:paraId="13774BB7">
      <w:pPr>
        <w:jc w:val="center"/>
        <w:rPr>
          <w:rFonts w:hint="eastAsia" w:ascii="仿宋" w:hAnsi="仿宋" w:eastAsia="仿宋" w:cs="仿宋"/>
        </w:rPr>
      </w:pPr>
    </w:p>
    <w:p w14:paraId="039DBF44">
      <w:pPr>
        <w:jc w:val="center"/>
        <w:rPr>
          <w:rFonts w:hint="eastAsia" w:ascii="仿宋" w:hAnsi="仿宋" w:eastAsia="仿宋" w:cs="仿宋"/>
        </w:rPr>
      </w:pPr>
    </w:p>
    <w:p w14:paraId="5C64EE32">
      <w:pPr>
        <w:jc w:val="both"/>
        <w:rPr>
          <w:rFonts w:hint="eastAsia" w:ascii="仿宋" w:hAnsi="仿宋" w:eastAsia="仿宋" w:cs="仿宋"/>
        </w:rPr>
      </w:pPr>
    </w:p>
    <w:p w14:paraId="49684A4F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4DBC935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8CBE2D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F955C9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2667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EA99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CB8C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52068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A90901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0DD691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8BE4F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7197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FE6A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95DB8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2ABA5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79850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A2310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67227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C8C9D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2679A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43423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3B5B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CA8F3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48FC1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28626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0AD8A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A62782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D8CF6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4CCFB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EB757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EDF6B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CDF312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66CAA3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ACC56D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0B58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6CAFA5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976722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0E7A8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CC3EC3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C9C6D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EFAD6D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5240EF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28499A5"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7EBB873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12547FC8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 w14:paraId="51055C71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2C9266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0E7ED8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0A7A09BB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CDF10E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39E2921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2424F618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3DD12D5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0C83A527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E591E1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3AF9241">
      <w:pPr>
        <w:rPr>
          <w:rFonts w:hint="eastAsia" w:ascii="仿宋" w:hAnsi="仿宋" w:eastAsia="仿宋" w:cs="仿宋"/>
        </w:rPr>
      </w:pPr>
    </w:p>
    <w:p w14:paraId="711BE177">
      <w:pPr>
        <w:rPr>
          <w:rFonts w:hint="eastAsia" w:ascii="仿宋" w:hAnsi="仿宋" w:eastAsia="仿宋" w:cs="仿宋"/>
        </w:rPr>
      </w:pPr>
    </w:p>
    <w:p w14:paraId="32B30399">
      <w:pPr>
        <w:rPr>
          <w:rFonts w:hint="eastAsia" w:ascii="仿宋" w:hAnsi="仿宋" w:eastAsia="仿宋" w:cs="仿宋"/>
        </w:rPr>
      </w:pPr>
    </w:p>
    <w:p w14:paraId="069EC0CF">
      <w:pPr>
        <w:rPr>
          <w:rFonts w:hint="eastAsia" w:ascii="仿宋" w:hAnsi="仿宋" w:eastAsia="仿宋" w:cs="仿宋"/>
        </w:rPr>
      </w:pPr>
    </w:p>
    <w:p w14:paraId="15749E9E">
      <w:pPr>
        <w:rPr>
          <w:rFonts w:hint="eastAsia" w:ascii="仿宋" w:hAnsi="仿宋" w:eastAsia="仿宋" w:cs="仿宋"/>
        </w:rPr>
      </w:pPr>
    </w:p>
    <w:p w14:paraId="12A70696">
      <w:pPr>
        <w:rPr>
          <w:rFonts w:hint="eastAsia" w:ascii="仿宋" w:hAnsi="仿宋" w:eastAsia="仿宋" w:cs="仿宋"/>
        </w:rPr>
      </w:pPr>
    </w:p>
    <w:p w14:paraId="335D567C">
      <w:pPr>
        <w:rPr>
          <w:rFonts w:hint="eastAsia" w:ascii="仿宋" w:hAnsi="仿宋" w:eastAsia="仿宋" w:cs="仿宋"/>
        </w:rPr>
      </w:pPr>
    </w:p>
    <w:p w14:paraId="13B4DD14">
      <w:pPr>
        <w:rPr>
          <w:rFonts w:hint="eastAsia" w:ascii="仿宋" w:hAnsi="仿宋" w:eastAsia="仿宋" w:cs="仿宋"/>
        </w:rPr>
      </w:pPr>
    </w:p>
    <w:p w14:paraId="7D8EAFCF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667EC6DD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6BE19B7F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423BCD5A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7018A33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C81960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7DD73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44213B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530500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C91525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31A6D8A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ED6068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0C3F804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AFD26F3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51B24A1">
      <w:pPr>
        <w:rPr>
          <w:rFonts w:hint="eastAsia" w:ascii="仿宋" w:hAnsi="仿宋" w:eastAsia="仿宋" w:cs="仿宋"/>
        </w:rPr>
      </w:pPr>
    </w:p>
    <w:p w14:paraId="0B515391">
      <w:pPr>
        <w:rPr>
          <w:rFonts w:hint="eastAsia" w:ascii="仿宋" w:hAnsi="仿宋" w:eastAsia="仿宋" w:cs="仿宋"/>
        </w:rPr>
      </w:pPr>
    </w:p>
    <w:p w14:paraId="6FA0266D">
      <w:pPr>
        <w:rPr>
          <w:rFonts w:hint="eastAsia" w:ascii="仿宋" w:hAnsi="仿宋" w:eastAsia="仿宋" w:cs="仿宋"/>
        </w:rPr>
      </w:pPr>
    </w:p>
    <w:p w14:paraId="3C451FDD">
      <w:pPr>
        <w:rPr>
          <w:rFonts w:hint="eastAsia" w:ascii="仿宋" w:hAnsi="仿宋" w:eastAsia="仿宋" w:cs="仿宋"/>
        </w:rPr>
      </w:pPr>
    </w:p>
    <w:p w14:paraId="42F12F9A">
      <w:pPr>
        <w:rPr>
          <w:rFonts w:hint="eastAsia" w:ascii="仿宋" w:hAnsi="仿宋" w:eastAsia="仿宋" w:cs="仿宋"/>
        </w:rPr>
      </w:pPr>
    </w:p>
    <w:p w14:paraId="474318C8">
      <w:pPr>
        <w:rPr>
          <w:rFonts w:hint="eastAsia" w:ascii="仿宋" w:hAnsi="仿宋" w:eastAsia="仿宋" w:cs="仿宋"/>
        </w:rPr>
      </w:pPr>
    </w:p>
    <w:p w14:paraId="7229E4F4">
      <w:pPr>
        <w:rPr>
          <w:rFonts w:hint="eastAsia" w:ascii="仿宋" w:hAnsi="仿宋" w:eastAsia="仿宋" w:cs="仿宋"/>
        </w:rPr>
      </w:pPr>
    </w:p>
    <w:p w14:paraId="4A0F4C3A">
      <w:pPr>
        <w:rPr>
          <w:rFonts w:hint="eastAsia" w:ascii="仿宋" w:hAnsi="仿宋" w:eastAsia="仿宋" w:cs="仿宋"/>
        </w:rPr>
      </w:pPr>
    </w:p>
    <w:p w14:paraId="2E5F98DC">
      <w:pPr>
        <w:rPr>
          <w:rFonts w:hint="eastAsia" w:ascii="仿宋" w:hAnsi="仿宋" w:eastAsia="仿宋" w:cs="仿宋"/>
        </w:rPr>
      </w:pPr>
    </w:p>
    <w:p w14:paraId="4C5E112E">
      <w:pPr>
        <w:rPr>
          <w:rFonts w:hint="eastAsia" w:ascii="仿宋" w:hAnsi="仿宋" w:eastAsia="仿宋" w:cs="仿宋"/>
        </w:rPr>
      </w:pPr>
    </w:p>
    <w:p w14:paraId="2A09380A">
      <w:pPr>
        <w:rPr>
          <w:rFonts w:hint="eastAsia" w:ascii="仿宋" w:hAnsi="仿宋" w:eastAsia="仿宋" w:cs="仿宋"/>
        </w:rPr>
      </w:pPr>
    </w:p>
    <w:p w14:paraId="1CF9BD47">
      <w:pPr>
        <w:rPr>
          <w:rFonts w:hint="eastAsia" w:ascii="仿宋" w:hAnsi="仿宋" w:eastAsia="仿宋" w:cs="仿宋"/>
        </w:rPr>
      </w:pPr>
    </w:p>
    <w:p w14:paraId="41BC7AB6">
      <w:pPr>
        <w:rPr>
          <w:rFonts w:hint="eastAsia" w:ascii="仿宋" w:hAnsi="仿宋" w:eastAsia="仿宋" w:cs="仿宋"/>
        </w:rPr>
      </w:pPr>
    </w:p>
    <w:p w14:paraId="30014BA0">
      <w:pPr>
        <w:rPr>
          <w:rFonts w:hint="eastAsia" w:ascii="仿宋" w:hAnsi="仿宋" w:eastAsia="仿宋" w:cs="仿宋"/>
        </w:rPr>
      </w:pPr>
    </w:p>
    <w:p w14:paraId="118602E1">
      <w:pPr>
        <w:rPr>
          <w:rFonts w:hint="eastAsia" w:ascii="仿宋" w:hAnsi="仿宋" w:eastAsia="仿宋" w:cs="仿宋"/>
        </w:rPr>
      </w:pPr>
    </w:p>
    <w:p w14:paraId="512DF06B">
      <w:pPr>
        <w:rPr>
          <w:rFonts w:hint="eastAsia" w:ascii="仿宋" w:hAnsi="仿宋" w:eastAsia="仿宋" w:cs="仿宋"/>
        </w:rPr>
      </w:pPr>
    </w:p>
    <w:p w14:paraId="3477C81D"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528251789"/>
      <w:bookmarkStart w:id="6" w:name="_Toc474135236"/>
      <w:bookmarkStart w:id="7" w:name="_Toc138837744"/>
      <w:bookmarkStart w:id="8" w:name="_Toc469749018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292B9111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致:会昌县德欣教育科技有限公司</w:t>
      </w:r>
    </w:p>
    <w:p w14:paraId="5B8934E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509C79B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5F7375A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029C80A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11A7375A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0F7B30F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24FD8B6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44405674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792FDE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670E94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58B9C97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59EA98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0A0CF9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0FC441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495073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647243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D9AFB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09C3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1260B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6F8D5C7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49064E1C">
      <w:pPr>
        <w:spacing w:line="500" w:lineRule="exact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C3372D0">
      <w:pPr>
        <w:spacing w:line="500" w:lineRule="exact"/>
        <w:jc w:val="center"/>
        <w:rPr>
          <w:rFonts w:hint="eastAsia" w:ascii="仿宋" w:hAnsi="仿宋" w:eastAsia="仿宋" w:cs="仿宋"/>
          <w:b/>
          <w:bCs/>
          <w:kern w:val="2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6"/>
          <w:szCs w:val="36"/>
          <w:lang w:val="en-US" w:eastAsia="zh-CN"/>
        </w:rPr>
        <w:t>会昌县体育中心游泳场、大步田全民健身活动中心室内馆报价清单</w:t>
      </w:r>
    </w:p>
    <w:tbl>
      <w:tblPr>
        <w:tblStyle w:val="5"/>
        <w:tblW w:w="13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3338"/>
        <w:gridCol w:w="1650"/>
        <w:gridCol w:w="3129"/>
        <w:gridCol w:w="2400"/>
        <w:gridCol w:w="1883"/>
      </w:tblGrid>
      <w:tr w14:paraId="3454C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4" w:type="dxa"/>
            <w:vAlign w:val="center"/>
          </w:tcPr>
          <w:p w14:paraId="2DFB9E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338" w:type="dxa"/>
            <w:vAlign w:val="center"/>
          </w:tcPr>
          <w:p w14:paraId="0EFCD9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场地</w:t>
            </w:r>
          </w:p>
        </w:tc>
        <w:tc>
          <w:tcPr>
            <w:tcW w:w="1650" w:type="dxa"/>
            <w:vAlign w:val="center"/>
          </w:tcPr>
          <w:p w14:paraId="72F61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面积（㎡）</w:t>
            </w:r>
          </w:p>
        </w:tc>
        <w:tc>
          <w:tcPr>
            <w:tcW w:w="3129" w:type="dxa"/>
            <w:vAlign w:val="center"/>
          </w:tcPr>
          <w:p w14:paraId="1326B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租赁费用（元/㎡/月）</w:t>
            </w:r>
          </w:p>
        </w:tc>
        <w:tc>
          <w:tcPr>
            <w:tcW w:w="2400" w:type="dxa"/>
            <w:vAlign w:val="center"/>
          </w:tcPr>
          <w:p w14:paraId="410F0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租赁费用（元/月）</w:t>
            </w:r>
          </w:p>
        </w:tc>
        <w:tc>
          <w:tcPr>
            <w:tcW w:w="1883" w:type="dxa"/>
            <w:vAlign w:val="center"/>
          </w:tcPr>
          <w:p w14:paraId="0A14A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1FD17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4" w:type="dxa"/>
            <w:vAlign w:val="center"/>
          </w:tcPr>
          <w:p w14:paraId="1134E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338" w:type="dxa"/>
            <w:vAlign w:val="center"/>
          </w:tcPr>
          <w:p w14:paraId="4B97A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会昌县体育中心游泳场</w:t>
            </w:r>
          </w:p>
        </w:tc>
        <w:tc>
          <w:tcPr>
            <w:tcW w:w="1650" w:type="dxa"/>
            <w:vAlign w:val="center"/>
          </w:tcPr>
          <w:p w14:paraId="6BD8D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978.70</w:t>
            </w:r>
          </w:p>
        </w:tc>
        <w:tc>
          <w:tcPr>
            <w:tcW w:w="3129" w:type="dxa"/>
            <w:vAlign w:val="center"/>
          </w:tcPr>
          <w:p w14:paraId="4C7B0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 w14:paraId="2B30C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vAlign w:val="center"/>
          </w:tcPr>
          <w:p w14:paraId="67AE47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92A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4" w:type="dxa"/>
            <w:vAlign w:val="center"/>
          </w:tcPr>
          <w:p w14:paraId="6B5AA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338" w:type="dxa"/>
            <w:vAlign w:val="center"/>
          </w:tcPr>
          <w:p w14:paraId="53C736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大步田全民健身活动中心</w:t>
            </w:r>
          </w:p>
        </w:tc>
        <w:tc>
          <w:tcPr>
            <w:tcW w:w="1650" w:type="dxa"/>
            <w:vAlign w:val="center"/>
          </w:tcPr>
          <w:p w14:paraId="2FF83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6150.87</w:t>
            </w:r>
          </w:p>
        </w:tc>
        <w:tc>
          <w:tcPr>
            <w:tcW w:w="3129" w:type="dxa"/>
            <w:vAlign w:val="center"/>
          </w:tcPr>
          <w:p w14:paraId="2B928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00" w:type="dxa"/>
            <w:vAlign w:val="center"/>
          </w:tcPr>
          <w:p w14:paraId="2E88C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vAlign w:val="center"/>
          </w:tcPr>
          <w:p w14:paraId="70C33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0836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54" w:type="dxa"/>
            <w:gridSpan w:val="6"/>
            <w:vAlign w:val="center"/>
          </w:tcPr>
          <w:p w14:paraId="67887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1、报价（元）：</w:t>
            </w:r>
          </w:p>
        </w:tc>
      </w:tr>
      <w:tr w14:paraId="16DA9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54" w:type="dxa"/>
            <w:gridSpan w:val="6"/>
            <w:vAlign w:val="center"/>
          </w:tcPr>
          <w:p w14:paraId="4E1BC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税金：提供6%增值税专用发票。</w:t>
            </w:r>
          </w:p>
        </w:tc>
      </w:tr>
    </w:tbl>
    <w:p w14:paraId="2F782726">
      <w:pPr>
        <w:spacing w:line="500" w:lineRule="exact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</w:pPr>
    </w:p>
    <w:p w14:paraId="31448711">
      <w:pPr>
        <w:rPr>
          <w:rFonts w:hint="default"/>
          <w:b/>
          <w:bCs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NzFkMjdhNjc2Nzc1OGVkZTA3MjIxNjMxNjkzOGEifQ=="/>
  </w:docVars>
  <w:rsids>
    <w:rsidRoot w:val="1FDA62C2"/>
    <w:rsid w:val="015E3589"/>
    <w:rsid w:val="044C08C6"/>
    <w:rsid w:val="04756C2A"/>
    <w:rsid w:val="07FC5D97"/>
    <w:rsid w:val="1C9A16F0"/>
    <w:rsid w:val="1FDA62C2"/>
    <w:rsid w:val="28D3066E"/>
    <w:rsid w:val="317E0C18"/>
    <w:rsid w:val="3A514E88"/>
    <w:rsid w:val="3F6F51DD"/>
    <w:rsid w:val="41E372E0"/>
    <w:rsid w:val="4C09758F"/>
    <w:rsid w:val="5787415E"/>
    <w:rsid w:val="5B0950C2"/>
    <w:rsid w:val="642B3664"/>
    <w:rsid w:val="727A7B45"/>
    <w:rsid w:val="77F03860"/>
    <w:rsid w:val="7B6914F5"/>
    <w:rsid w:val="7C503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2203</Words>
  <Characters>2334</Characters>
  <Lines>0</Lines>
  <Paragraphs>0</Paragraphs>
  <TotalTime>1</TotalTime>
  <ScaleCrop>false</ScaleCrop>
  <LinksUpToDate>false</LinksUpToDate>
  <CharactersWithSpaces>2565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2024-07-22T01:30:00Z</dcterms:created>
  <dc:creator>不染</dc:creator>
  <cp:lastModifiedBy>不染</cp:lastModifiedBy>
  <dcterms:modified xsi:type="dcterms:W3CDTF">2024-07-23T01:51:35Z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C7FE4F2862BC4A83A3B523BE075347A8_11</vt:lpwstr>
  </property>
</Properties>
</file>