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8"/>
          <w:szCs w:val="28"/>
          <w:highlight w:val="none"/>
          <w:lang w:val="en-US" w:eastAsia="zh-CN"/>
        </w:rPr>
      </w:pPr>
      <w:r>
        <w:rPr>
          <w:rFonts w:hint="eastAsia" w:ascii="仿宋" w:hAnsi="仿宋" w:eastAsia="仿宋" w:cs="仿宋"/>
          <w:b/>
          <w:bCs/>
          <w:sz w:val="44"/>
          <w:szCs w:val="44"/>
          <w:highlight w:val="none"/>
          <w:lang w:val="en-US" w:eastAsia="zh-CN"/>
        </w:rPr>
        <w:t>会昌县德欣教育科技有限公司关于公安局停车坪建设项目劳务分包竞价公告</w:t>
      </w:r>
    </w:p>
    <w:p>
      <w:pPr>
        <w:pStyle w:val="5"/>
        <w:keepNext w:val="0"/>
        <w:keepLines w:val="0"/>
        <w:pageBreakBefore w:val="0"/>
        <w:widowControl w:val="0"/>
        <w:kinsoku/>
        <w:wordWrap/>
        <w:overflowPunct/>
        <w:topLinePunct w:val="0"/>
        <w:autoSpaceDE/>
        <w:autoSpaceDN/>
        <w:bidi w:val="0"/>
        <w:adjustRightInd/>
        <w:snapToGrid/>
        <w:spacing w:line="500" w:lineRule="exact"/>
        <w:ind w:firstLine="500"/>
        <w:textAlignment w:val="auto"/>
        <w:rPr>
          <w:rFonts w:hint="eastAsia" w:ascii="仿宋" w:hAnsi="仿宋" w:eastAsia="仿宋" w:cs="仿宋"/>
          <w:b/>
          <w:bCs/>
          <w:color w:val="auto"/>
          <w:sz w:val="25"/>
          <w:szCs w:val="25"/>
          <w:u w:val="none"/>
          <w:lang w:val="en-US" w:eastAsia="zh-CN"/>
        </w:rPr>
      </w:pPr>
    </w:p>
    <w:p>
      <w:pPr>
        <w:pStyle w:val="5"/>
        <w:keepNext w:val="0"/>
        <w:keepLines w:val="0"/>
        <w:pageBreakBefore w:val="0"/>
        <w:widowControl w:val="0"/>
        <w:kinsoku/>
        <w:wordWrap/>
        <w:overflowPunct/>
        <w:topLinePunct w:val="0"/>
        <w:autoSpaceDE/>
        <w:autoSpaceDN/>
        <w:bidi w:val="0"/>
        <w:adjustRightInd/>
        <w:snapToGrid/>
        <w:spacing w:line="500" w:lineRule="exact"/>
        <w:ind w:firstLine="500"/>
        <w:textAlignment w:val="auto"/>
        <w:rPr>
          <w:rFonts w:hint="eastAsia" w:ascii="仿宋" w:hAnsi="仿宋" w:eastAsia="仿宋" w:cs="仿宋"/>
          <w:b/>
          <w:bCs/>
          <w:color w:val="auto"/>
          <w:sz w:val="25"/>
          <w:szCs w:val="25"/>
          <w:u w:val="none"/>
          <w:lang w:val="en-US" w:eastAsia="zh-CN"/>
        </w:rPr>
      </w:pPr>
      <w:r>
        <w:rPr>
          <w:rFonts w:hint="eastAsia" w:ascii="仿宋" w:hAnsi="仿宋" w:eastAsia="仿宋" w:cs="仿宋"/>
          <w:b/>
          <w:bCs/>
          <w:color w:val="auto"/>
          <w:sz w:val="25"/>
          <w:szCs w:val="25"/>
          <w:u w:val="none"/>
          <w:lang w:val="en-US" w:eastAsia="zh-CN"/>
        </w:rPr>
        <w:t>项目概况</w:t>
      </w:r>
    </w:p>
    <w:p>
      <w:pPr>
        <w:pStyle w:val="5"/>
        <w:keepNext w:val="0"/>
        <w:keepLines w:val="0"/>
        <w:pageBreakBefore w:val="0"/>
        <w:widowControl w:val="0"/>
        <w:kinsoku/>
        <w:wordWrap/>
        <w:overflowPunct/>
        <w:topLinePunct w:val="0"/>
        <w:autoSpaceDE/>
        <w:autoSpaceDN/>
        <w:bidi w:val="0"/>
        <w:adjustRightInd/>
        <w:snapToGrid/>
        <w:spacing w:line="500" w:lineRule="exact"/>
        <w:ind w:firstLine="500"/>
        <w:textAlignment w:val="auto"/>
        <w:rPr>
          <w:rFonts w:hint="eastAsia" w:ascii="仿宋" w:hAnsi="仿宋" w:eastAsia="仿宋" w:cs="仿宋"/>
          <w:color w:val="auto"/>
          <w:spacing w:val="0"/>
          <w:sz w:val="25"/>
          <w:szCs w:val="25"/>
        </w:rPr>
      </w:pPr>
      <w:r>
        <w:rPr>
          <w:rFonts w:hint="eastAsia" w:ascii="仿宋" w:hAnsi="仿宋" w:eastAsia="仿宋" w:cs="仿宋"/>
          <w:color w:val="FF0000"/>
          <w:sz w:val="25"/>
          <w:szCs w:val="25"/>
          <w:u w:val="single"/>
        </w:rPr>
        <w:t>公安局停车坪建设项目劳务分包</w:t>
      </w:r>
      <w:r>
        <w:rPr>
          <w:rFonts w:hint="eastAsia" w:ascii="仿宋" w:hAnsi="仿宋" w:eastAsia="仿宋" w:cs="仿宋"/>
          <w:color w:val="auto"/>
          <w:sz w:val="25"/>
          <w:szCs w:val="25"/>
        </w:rPr>
        <w:t>采购项目的潜在供应商应在</w:t>
      </w:r>
      <w:r>
        <w:rPr>
          <w:rFonts w:hint="eastAsia" w:ascii="仿宋" w:hAnsi="仿宋" w:eastAsia="仿宋" w:cs="仿宋"/>
          <w:color w:val="auto"/>
          <w:sz w:val="25"/>
          <w:szCs w:val="25"/>
          <w:u w:val="single"/>
          <w:lang w:val="en-US" w:eastAsia="zh-CN"/>
        </w:rPr>
        <w:t>会昌县德欣教育科技有限公司</w:t>
      </w:r>
      <w:r>
        <w:rPr>
          <w:rFonts w:hint="eastAsia" w:ascii="仿宋" w:hAnsi="仿宋" w:eastAsia="仿宋" w:cs="仿宋"/>
          <w:color w:val="auto"/>
          <w:sz w:val="25"/>
          <w:szCs w:val="25"/>
        </w:rPr>
        <w:t>获取</w:t>
      </w:r>
      <w:r>
        <w:rPr>
          <w:rFonts w:hint="eastAsia" w:ascii="仿宋" w:hAnsi="仿宋" w:eastAsia="仿宋" w:cs="仿宋"/>
          <w:color w:val="auto"/>
          <w:sz w:val="25"/>
          <w:szCs w:val="25"/>
          <w:lang w:val="en-US" w:eastAsia="zh-CN"/>
        </w:rPr>
        <w:t>采购</w:t>
      </w:r>
      <w:r>
        <w:rPr>
          <w:rFonts w:hint="eastAsia" w:ascii="仿宋" w:hAnsi="仿宋" w:eastAsia="仿宋" w:cs="仿宋"/>
          <w:color w:val="auto"/>
          <w:sz w:val="25"/>
          <w:szCs w:val="25"/>
        </w:rPr>
        <w:t>文件，并于</w:t>
      </w:r>
      <w:r>
        <w:rPr>
          <w:rFonts w:hint="eastAsia" w:ascii="仿宋" w:hAnsi="仿宋" w:eastAsia="仿宋" w:cs="仿宋"/>
          <w:color w:val="FF0000"/>
          <w:sz w:val="25"/>
          <w:szCs w:val="25"/>
          <w:u w:val="single"/>
          <w:lang w:val="en-US" w:eastAsia="zh-CN"/>
        </w:rPr>
        <w:t>2024</w:t>
      </w:r>
      <w:r>
        <w:rPr>
          <w:rFonts w:hint="eastAsia" w:ascii="仿宋" w:hAnsi="仿宋" w:eastAsia="仿宋" w:cs="仿宋"/>
          <w:bCs/>
          <w:color w:val="FF0000"/>
          <w:sz w:val="25"/>
          <w:szCs w:val="25"/>
        </w:rPr>
        <w:t>年</w:t>
      </w:r>
      <w:r>
        <w:rPr>
          <w:rFonts w:hint="eastAsia" w:ascii="仿宋" w:hAnsi="仿宋" w:eastAsia="仿宋" w:cs="仿宋"/>
          <w:bCs/>
          <w:color w:val="FF0000"/>
          <w:sz w:val="25"/>
          <w:szCs w:val="25"/>
          <w:u w:val="single"/>
          <w:lang w:val="en-US" w:eastAsia="zh-CN"/>
        </w:rPr>
        <w:t>05</w:t>
      </w:r>
      <w:r>
        <w:rPr>
          <w:rFonts w:hint="eastAsia" w:ascii="仿宋" w:hAnsi="仿宋" w:eastAsia="仿宋" w:cs="仿宋"/>
          <w:bCs/>
          <w:color w:val="FF0000"/>
          <w:sz w:val="25"/>
          <w:szCs w:val="25"/>
        </w:rPr>
        <w:t>月</w:t>
      </w:r>
      <w:r>
        <w:rPr>
          <w:rFonts w:hint="eastAsia" w:ascii="仿宋" w:hAnsi="仿宋" w:eastAsia="仿宋" w:cs="仿宋"/>
          <w:bCs/>
          <w:color w:val="FF0000"/>
          <w:sz w:val="25"/>
          <w:szCs w:val="25"/>
          <w:u w:val="single"/>
          <w:lang w:val="en-US" w:eastAsia="zh-CN"/>
        </w:rPr>
        <w:t>23</w:t>
      </w:r>
      <w:r>
        <w:rPr>
          <w:rFonts w:hint="eastAsia" w:ascii="仿宋" w:hAnsi="仿宋" w:eastAsia="仿宋" w:cs="仿宋"/>
          <w:bCs/>
          <w:color w:val="FF0000"/>
          <w:sz w:val="25"/>
          <w:szCs w:val="25"/>
        </w:rPr>
        <w:t>日</w:t>
      </w:r>
      <w:r>
        <w:rPr>
          <w:rFonts w:hint="eastAsia" w:ascii="仿宋" w:hAnsi="仿宋" w:eastAsia="仿宋" w:cs="仿宋"/>
          <w:bCs/>
          <w:color w:val="FF0000"/>
          <w:sz w:val="25"/>
          <w:szCs w:val="25"/>
          <w:u w:val="single"/>
          <w:lang w:val="en-US" w:eastAsia="zh-CN"/>
        </w:rPr>
        <w:t>09</w:t>
      </w:r>
      <w:r>
        <w:rPr>
          <w:rFonts w:hint="eastAsia" w:ascii="仿宋" w:hAnsi="仿宋" w:eastAsia="仿宋" w:cs="仿宋"/>
          <w:bCs/>
          <w:color w:val="FF0000"/>
          <w:sz w:val="25"/>
          <w:szCs w:val="25"/>
        </w:rPr>
        <w:t>点</w:t>
      </w:r>
      <w:r>
        <w:rPr>
          <w:rFonts w:hint="eastAsia" w:ascii="仿宋" w:hAnsi="仿宋" w:eastAsia="仿宋" w:cs="仿宋"/>
          <w:bCs/>
          <w:color w:val="FF0000"/>
          <w:sz w:val="25"/>
          <w:szCs w:val="25"/>
          <w:u w:val="single"/>
          <w:lang w:val="en-US" w:eastAsia="zh-CN"/>
        </w:rPr>
        <w:t>30</w:t>
      </w:r>
      <w:r>
        <w:rPr>
          <w:rFonts w:hint="eastAsia" w:ascii="仿宋" w:hAnsi="仿宋" w:eastAsia="仿宋" w:cs="仿宋"/>
          <w:bCs/>
          <w:color w:val="auto"/>
          <w:sz w:val="25"/>
          <w:szCs w:val="25"/>
        </w:rPr>
        <w:t>分（北京时间）响应截止时间前</w:t>
      </w:r>
      <w:r>
        <w:rPr>
          <w:rFonts w:hint="eastAsia" w:ascii="仿宋" w:hAnsi="仿宋" w:eastAsia="仿宋" w:cs="仿宋"/>
          <w:bCs/>
          <w:color w:val="auto"/>
          <w:sz w:val="25"/>
          <w:szCs w:val="25"/>
        </w:rPr>
        <w:t>提交</w:t>
      </w:r>
      <w:r>
        <w:rPr>
          <w:rFonts w:hint="eastAsia" w:ascii="仿宋" w:hAnsi="仿宋" w:eastAsia="仿宋" w:cs="仿宋"/>
          <w:bCs/>
          <w:color w:val="auto"/>
          <w:sz w:val="25"/>
          <w:szCs w:val="25"/>
        </w:rPr>
        <w:t>响应文件</w:t>
      </w:r>
      <w:r>
        <w:rPr>
          <w:rFonts w:hint="eastAsia" w:ascii="仿宋" w:hAnsi="仿宋" w:eastAsia="仿宋" w:cs="仿宋"/>
          <w:color w:val="auto"/>
          <w:sz w:val="25"/>
          <w:szCs w:val="25"/>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2" w:firstLineChars="200"/>
        <w:textAlignment w:val="auto"/>
        <w:outlineLvl w:val="1"/>
        <w:rPr>
          <w:rFonts w:hint="eastAsia" w:ascii="仿宋" w:hAnsi="仿宋" w:eastAsia="仿宋" w:cs="仿宋"/>
          <w:b/>
          <w:bCs/>
          <w:color w:val="auto"/>
          <w:spacing w:val="0"/>
          <w:sz w:val="25"/>
          <w:szCs w:val="25"/>
          <w:lang w:val="en-US" w:eastAsia="zh-CN"/>
        </w:rPr>
      </w:pPr>
      <w:bookmarkStart w:id="0" w:name="_Toc2920"/>
      <w:bookmarkStart w:id="1" w:name="_Toc19799"/>
      <w:bookmarkStart w:id="2" w:name="_Toc11135"/>
      <w:bookmarkStart w:id="3" w:name="_Toc31861"/>
      <w:bookmarkStart w:id="4" w:name="_Toc2845"/>
      <w:bookmarkStart w:id="5" w:name="_Toc20174"/>
      <w:bookmarkStart w:id="6" w:name="_Toc20855"/>
      <w:r>
        <w:rPr>
          <w:rFonts w:hint="eastAsia" w:ascii="仿宋" w:hAnsi="仿宋" w:eastAsia="仿宋" w:cs="仿宋"/>
          <w:b/>
          <w:bCs/>
          <w:color w:val="auto"/>
          <w:spacing w:val="0"/>
          <w:sz w:val="25"/>
          <w:szCs w:val="25"/>
          <w:lang w:val="en-US" w:eastAsia="zh-CN"/>
        </w:rPr>
        <w:t>（一）项目基本情况</w:t>
      </w:r>
      <w:bookmarkEnd w:id="0"/>
      <w:bookmarkEnd w:id="1"/>
      <w:bookmarkEnd w:id="2"/>
      <w:bookmarkEnd w:id="3"/>
      <w:bookmarkEnd w:id="4"/>
      <w:bookmarkEnd w:id="5"/>
      <w:bookmarkEnd w:id="6"/>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项目名称：公安局停车坪建设项目劳务分包</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color w:val="auto"/>
          <w:spacing w:val="0"/>
          <w:sz w:val="25"/>
          <w:szCs w:val="25"/>
          <w:lang w:val="en-US" w:eastAsia="zh-CN"/>
        </w:rPr>
      </w:pPr>
      <w:r>
        <w:rPr>
          <w:rFonts w:hint="eastAsia" w:ascii="仿宋" w:hAnsi="仿宋" w:eastAsia="仿宋" w:cs="仿宋"/>
          <w:color w:val="auto"/>
          <w:spacing w:val="0"/>
          <w:sz w:val="25"/>
          <w:szCs w:val="25"/>
          <w:lang w:val="en-US" w:eastAsia="zh-CN"/>
        </w:rPr>
        <w:t>采购方式：竞价</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color w:val="FF0000"/>
          <w:spacing w:val="0"/>
          <w:sz w:val="25"/>
          <w:szCs w:val="25"/>
          <w:lang w:val="en-US" w:eastAsia="zh-CN"/>
        </w:rPr>
      </w:pPr>
      <w:r>
        <w:rPr>
          <w:rFonts w:hint="eastAsia" w:ascii="仿宋" w:hAnsi="仿宋" w:eastAsia="仿宋" w:cs="仿宋"/>
          <w:color w:val="FF0000"/>
          <w:spacing w:val="0"/>
          <w:sz w:val="25"/>
          <w:szCs w:val="25"/>
          <w:lang w:val="en-US" w:eastAsia="zh-CN"/>
        </w:rPr>
        <w:t>预算金额：以县财政和审计最终结算审定价按规定下浮后，所得价款再下浮不少于8%。</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2" w:firstLineChars="200"/>
        <w:textAlignment w:val="auto"/>
        <w:outlineLvl w:val="1"/>
        <w:rPr>
          <w:rFonts w:hint="eastAsia" w:ascii="仿宋" w:hAnsi="仿宋" w:eastAsia="仿宋" w:cs="仿宋"/>
          <w:b/>
          <w:bCs/>
          <w:color w:val="auto"/>
          <w:spacing w:val="0"/>
          <w:sz w:val="25"/>
          <w:szCs w:val="25"/>
          <w:lang w:val="en-US" w:eastAsia="zh-CN"/>
        </w:rPr>
      </w:pPr>
      <w:bookmarkStart w:id="7" w:name="_Toc7193"/>
      <w:bookmarkStart w:id="8" w:name="_Toc7460"/>
      <w:bookmarkStart w:id="9" w:name="_Toc30994"/>
      <w:bookmarkStart w:id="10" w:name="_Toc5726"/>
      <w:bookmarkStart w:id="11" w:name="_Toc7802"/>
      <w:bookmarkStart w:id="12" w:name="_Toc26815"/>
      <w:bookmarkStart w:id="13" w:name="_Toc14966"/>
      <w:r>
        <w:rPr>
          <w:rFonts w:hint="eastAsia" w:ascii="仿宋" w:hAnsi="仿宋" w:eastAsia="仿宋" w:cs="仿宋"/>
          <w:b/>
          <w:bCs/>
          <w:color w:val="auto"/>
          <w:spacing w:val="0"/>
          <w:sz w:val="25"/>
          <w:szCs w:val="25"/>
          <w:lang w:val="en-US" w:eastAsia="zh-CN"/>
        </w:rPr>
        <w:t>（二）采购内容</w:t>
      </w:r>
      <w:bookmarkEnd w:id="7"/>
      <w:bookmarkEnd w:id="8"/>
      <w:bookmarkEnd w:id="9"/>
      <w:bookmarkEnd w:id="10"/>
      <w:bookmarkEnd w:id="11"/>
      <w:bookmarkEnd w:id="12"/>
      <w:bookmarkEnd w:id="13"/>
    </w:p>
    <w:tbl>
      <w:tblPr>
        <w:tblStyle w:val="2"/>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8"/>
        <w:gridCol w:w="750"/>
        <w:gridCol w:w="763"/>
        <w:gridCol w:w="3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430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pacing w:val="0"/>
                <w:sz w:val="25"/>
                <w:szCs w:val="25"/>
              </w:rPr>
            </w:pPr>
            <w:bookmarkStart w:id="14" w:name="_Toc28359013"/>
            <w:bookmarkStart w:id="15" w:name="_Toc35393799"/>
            <w:bookmarkStart w:id="16" w:name="_Toc35393630"/>
            <w:bookmarkStart w:id="17" w:name="_Toc28359090"/>
            <w:r>
              <w:rPr>
                <w:rFonts w:hint="eastAsia" w:ascii="仿宋" w:hAnsi="仿宋" w:eastAsia="仿宋" w:cs="仿宋"/>
                <w:color w:val="auto"/>
                <w:spacing w:val="0"/>
                <w:sz w:val="25"/>
                <w:szCs w:val="25"/>
              </w:rPr>
              <w:t>项目名称</w:t>
            </w:r>
          </w:p>
        </w:tc>
        <w:tc>
          <w:tcPr>
            <w:tcW w:w="7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pacing w:val="0"/>
                <w:sz w:val="25"/>
                <w:szCs w:val="25"/>
              </w:rPr>
            </w:pPr>
            <w:r>
              <w:rPr>
                <w:rFonts w:hint="eastAsia" w:ascii="仿宋" w:hAnsi="仿宋" w:eastAsia="仿宋" w:cs="仿宋"/>
                <w:color w:val="auto"/>
                <w:spacing w:val="0"/>
                <w:sz w:val="25"/>
                <w:szCs w:val="25"/>
              </w:rPr>
              <w:t>数量</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pacing w:val="0"/>
                <w:sz w:val="25"/>
                <w:szCs w:val="25"/>
              </w:rPr>
            </w:pPr>
            <w:r>
              <w:rPr>
                <w:rFonts w:hint="eastAsia" w:ascii="仿宋" w:hAnsi="仿宋" w:eastAsia="仿宋" w:cs="仿宋"/>
                <w:color w:val="auto"/>
                <w:spacing w:val="0"/>
                <w:sz w:val="25"/>
                <w:szCs w:val="25"/>
              </w:rPr>
              <w:t>单位</w:t>
            </w:r>
          </w:p>
        </w:tc>
        <w:tc>
          <w:tcPr>
            <w:tcW w:w="335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pacing w:val="0"/>
                <w:sz w:val="25"/>
                <w:szCs w:val="25"/>
              </w:rPr>
            </w:pPr>
            <w:r>
              <w:rPr>
                <w:rFonts w:hint="eastAsia" w:ascii="仿宋" w:hAnsi="仿宋" w:eastAsia="仿宋" w:cs="仿宋"/>
                <w:color w:val="auto"/>
                <w:spacing w:val="0"/>
                <w:sz w:val="25"/>
                <w:szCs w:val="25"/>
              </w:rPr>
              <w:t>主要技术规格及要求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430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pacing w:val="0"/>
                <w:sz w:val="25"/>
                <w:szCs w:val="25"/>
              </w:rPr>
            </w:pPr>
            <w:r>
              <w:rPr>
                <w:rFonts w:hint="eastAsia" w:ascii="仿宋" w:hAnsi="仿宋" w:eastAsia="仿宋" w:cs="仿宋"/>
                <w:b w:val="0"/>
                <w:bCs w:val="0"/>
                <w:color w:val="FF0000"/>
                <w:sz w:val="25"/>
                <w:szCs w:val="25"/>
              </w:rPr>
              <w:t>公安局停车坪建设项目劳务分包（只允许国内</w:t>
            </w:r>
            <w:r>
              <w:rPr>
                <w:rFonts w:hint="eastAsia" w:ascii="仿宋" w:hAnsi="仿宋" w:eastAsia="仿宋" w:cs="仿宋"/>
                <w:b w:val="0"/>
                <w:bCs w:val="0"/>
                <w:color w:val="FF0000"/>
                <w:sz w:val="25"/>
                <w:szCs w:val="25"/>
                <w:lang w:val="en-US" w:eastAsia="zh-CN"/>
              </w:rPr>
              <w:t>服务</w:t>
            </w:r>
            <w:r>
              <w:rPr>
                <w:rFonts w:hint="eastAsia" w:ascii="仿宋" w:hAnsi="仿宋" w:eastAsia="仿宋" w:cs="仿宋"/>
                <w:b w:val="0"/>
                <w:bCs w:val="0"/>
                <w:color w:val="FF0000"/>
                <w:sz w:val="25"/>
                <w:szCs w:val="25"/>
              </w:rPr>
              <w:t>）</w:t>
            </w:r>
          </w:p>
        </w:tc>
        <w:tc>
          <w:tcPr>
            <w:tcW w:w="7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pacing w:val="0"/>
                <w:sz w:val="25"/>
                <w:szCs w:val="25"/>
                <w:lang w:val="en-US" w:eastAsia="zh-CN"/>
              </w:rPr>
            </w:pPr>
            <w:r>
              <w:rPr>
                <w:rFonts w:hint="eastAsia" w:ascii="仿宋" w:hAnsi="仿宋" w:eastAsia="仿宋" w:cs="仿宋"/>
                <w:color w:val="auto"/>
                <w:spacing w:val="0"/>
                <w:sz w:val="25"/>
                <w:szCs w:val="25"/>
                <w:lang w:val="en-US" w:eastAsia="zh-CN"/>
              </w:rPr>
              <w:t>1</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pacing w:val="0"/>
                <w:sz w:val="25"/>
                <w:szCs w:val="25"/>
                <w:lang w:val="en-US" w:eastAsia="zh-CN"/>
              </w:rPr>
            </w:pPr>
            <w:r>
              <w:rPr>
                <w:rFonts w:hint="eastAsia" w:ascii="仿宋" w:hAnsi="仿宋" w:eastAsia="仿宋" w:cs="仿宋"/>
                <w:color w:val="auto"/>
                <w:spacing w:val="0"/>
                <w:sz w:val="25"/>
                <w:szCs w:val="25"/>
                <w:lang w:val="en-US" w:eastAsia="zh-CN"/>
              </w:rPr>
              <w:t>项</w:t>
            </w:r>
          </w:p>
        </w:tc>
        <w:tc>
          <w:tcPr>
            <w:tcW w:w="335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auto"/>
                <w:spacing w:val="0"/>
                <w:sz w:val="25"/>
                <w:szCs w:val="25"/>
                <w:lang w:val="en-US" w:eastAsia="zh-CN"/>
              </w:rPr>
            </w:pPr>
            <w:r>
              <w:rPr>
                <w:rFonts w:hint="eastAsia" w:ascii="仿宋" w:hAnsi="仿宋" w:eastAsia="仿宋" w:cs="仿宋"/>
                <w:b w:val="0"/>
                <w:bCs w:val="0"/>
                <w:color w:val="auto"/>
                <w:spacing w:val="0"/>
                <w:sz w:val="25"/>
                <w:szCs w:val="25"/>
                <w:lang w:val="en-US" w:eastAsia="zh-CN"/>
              </w:rPr>
              <w:t>详见采购需求</w:t>
            </w:r>
          </w:p>
        </w:tc>
      </w:tr>
    </w:tbl>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2" w:firstLineChars="200"/>
        <w:textAlignment w:val="auto"/>
        <w:outlineLvl w:val="0"/>
        <w:rPr>
          <w:rFonts w:hint="eastAsia" w:ascii="仿宋" w:hAnsi="仿宋" w:eastAsia="仿宋" w:cs="仿宋"/>
          <w:b w:val="0"/>
          <w:bCs w:val="0"/>
          <w:color w:val="auto"/>
          <w:spacing w:val="0"/>
          <w:sz w:val="25"/>
          <w:szCs w:val="25"/>
          <w:lang w:val="en-US" w:eastAsia="zh-CN"/>
        </w:rPr>
      </w:pPr>
      <w:bookmarkStart w:id="18" w:name="_Toc25832"/>
      <w:bookmarkStart w:id="19" w:name="_Toc21096"/>
      <w:bookmarkStart w:id="20" w:name="_Toc5503"/>
      <w:bookmarkStart w:id="21" w:name="_Toc19324"/>
      <w:bookmarkStart w:id="22" w:name="_Toc32073"/>
      <w:bookmarkStart w:id="23" w:name="_Toc16048"/>
      <w:bookmarkStart w:id="24" w:name="_Toc30491"/>
      <w:bookmarkStart w:id="25" w:name="_Toc21522"/>
      <w:bookmarkStart w:id="26" w:name="_Toc22121"/>
      <w:r>
        <w:rPr>
          <w:rFonts w:hint="eastAsia" w:ascii="仿宋" w:hAnsi="仿宋" w:eastAsia="仿宋" w:cs="仿宋"/>
          <w:b/>
          <w:bCs/>
          <w:color w:val="auto"/>
          <w:spacing w:val="0"/>
          <w:sz w:val="25"/>
          <w:szCs w:val="25"/>
          <w:lang w:val="en-US" w:eastAsia="zh-CN"/>
        </w:rPr>
        <w:t>合同履约：</w:t>
      </w:r>
      <w:r>
        <w:rPr>
          <w:rFonts w:hint="eastAsia" w:ascii="仿宋" w:hAnsi="仿宋" w:eastAsia="仿宋" w:cs="仿宋"/>
          <w:b w:val="0"/>
          <w:bCs w:val="0"/>
          <w:color w:val="auto"/>
          <w:spacing w:val="0"/>
          <w:sz w:val="25"/>
          <w:szCs w:val="25"/>
          <w:lang w:val="en-US" w:eastAsia="zh-CN"/>
        </w:rPr>
        <w:t>中标供应商与招标人应当在《中标通知书》发出之日起三十日内按照招标文件确定的事项签订书面合同,并按招标人要求履约。</w:t>
      </w:r>
      <w:bookmarkEnd w:id="18"/>
      <w:bookmarkEnd w:id="19"/>
      <w:bookmarkEnd w:id="20"/>
      <w:bookmarkEnd w:id="21"/>
      <w:bookmarkEnd w:id="22"/>
      <w:bookmarkEnd w:id="23"/>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outlineLvl w:val="0"/>
        <w:rPr>
          <w:rFonts w:hint="eastAsia" w:ascii="仿宋" w:hAnsi="仿宋" w:eastAsia="仿宋" w:cs="仿宋"/>
          <w:b w:val="0"/>
          <w:bCs w:val="0"/>
          <w:color w:val="auto"/>
          <w:spacing w:val="0"/>
          <w:sz w:val="25"/>
          <w:szCs w:val="25"/>
          <w:lang w:val="en-US" w:eastAsia="zh-CN"/>
        </w:rPr>
      </w:pPr>
      <w:bookmarkStart w:id="27" w:name="_Toc5515"/>
      <w:bookmarkStart w:id="28" w:name="_Toc16530"/>
      <w:bookmarkStart w:id="29" w:name="_Toc9623"/>
      <w:bookmarkStart w:id="30" w:name="_Toc11025"/>
      <w:r>
        <w:rPr>
          <w:rFonts w:hint="eastAsia" w:ascii="仿宋" w:hAnsi="仿宋" w:eastAsia="仿宋" w:cs="仿宋"/>
          <w:b w:val="0"/>
          <w:bCs w:val="0"/>
          <w:color w:val="auto"/>
          <w:spacing w:val="0"/>
          <w:sz w:val="25"/>
          <w:szCs w:val="25"/>
          <w:lang w:val="en-US" w:eastAsia="zh-CN"/>
        </w:rPr>
        <w:t>联合体：本项目不接受联合体。</w:t>
      </w:r>
      <w:bookmarkEnd w:id="27"/>
      <w:bookmarkEnd w:id="28"/>
      <w:bookmarkEnd w:id="29"/>
      <w:bookmarkEnd w:id="30"/>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2" w:firstLineChars="200"/>
        <w:textAlignment w:val="auto"/>
        <w:outlineLvl w:val="1"/>
        <w:rPr>
          <w:rFonts w:hint="eastAsia" w:ascii="仿宋" w:hAnsi="仿宋" w:eastAsia="仿宋" w:cs="仿宋"/>
          <w:b/>
          <w:bCs/>
          <w:color w:val="auto"/>
          <w:spacing w:val="0"/>
          <w:sz w:val="25"/>
          <w:szCs w:val="25"/>
          <w:lang w:val="en-US" w:eastAsia="zh-CN"/>
        </w:rPr>
      </w:pPr>
      <w:bookmarkStart w:id="31" w:name="_Toc9236"/>
      <w:bookmarkStart w:id="32" w:name="_Toc23269"/>
      <w:bookmarkStart w:id="33" w:name="_Toc4568"/>
      <w:bookmarkStart w:id="34" w:name="_Toc9149"/>
      <w:r>
        <w:rPr>
          <w:rFonts w:hint="eastAsia" w:ascii="仿宋" w:hAnsi="仿宋" w:eastAsia="仿宋" w:cs="仿宋"/>
          <w:b/>
          <w:bCs/>
          <w:color w:val="auto"/>
          <w:spacing w:val="0"/>
          <w:sz w:val="25"/>
          <w:szCs w:val="25"/>
          <w:lang w:val="en-US" w:eastAsia="zh-CN"/>
        </w:rPr>
        <w:t>（三）</w:t>
      </w:r>
      <w:bookmarkEnd w:id="14"/>
      <w:bookmarkEnd w:id="15"/>
      <w:bookmarkEnd w:id="16"/>
      <w:bookmarkEnd w:id="17"/>
      <w:r>
        <w:rPr>
          <w:rFonts w:hint="eastAsia" w:ascii="仿宋" w:hAnsi="仿宋" w:eastAsia="仿宋" w:cs="仿宋"/>
          <w:b/>
          <w:bCs/>
          <w:color w:val="auto"/>
          <w:spacing w:val="0"/>
          <w:sz w:val="25"/>
          <w:szCs w:val="25"/>
          <w:lang w:val="en-US" w:eastAsia="zh-CN"/>
        </w:rPr>
        <w:t>申请人资格要求：</w:t>
      </w:r>
      <w:bookmarkEnd w:id="24"/>
      <w:bookmarkEnd w:id="25"/>
      <w:bookmarkEnd w:id="26"/>
      <w:bookmarkEnd w:id="31"/>
      <w:bookmarkEnd w:id="32"/>
      <w:bookmarkEnd w:id="33"/>
      <w:bookmarkEnd w:id="34"/>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1、满足《中华人民共和国政府采购法》第二十二条规定的基本条件。</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1）具有独立承担民事责任的能力；</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2）具有良好的商业信誉和健全的财务会计制度；</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3）具有履行合同所必需的设备和专业技术能力；</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4）有依法缴纳税收和社会保障资金的良好记录；</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5）参加采购活动前三年内，在经营活动中没有重大违法记录</w:t>
      </w:r>
    </w:p>
    <w:p>
      <w:pPr>
        <w:pStyle w:val="5"/>
        <w:keepNext w:val="0"/>
        <w:keepLines w:val="0"/>
        <w:pageBreakBefore w:val="0"/>
        <w:widowControl w:val="0"/>
        <w:kinsoku/>
        <w:wordWrap/>
        <w:overflowPunct/>
        <w:topLinePunct w:val="0"/>
        <w:autoSpaceDE/>
        <w:autoSpaceDN/>
        <w:bidi w:val="0"/>
        <w:adjustRightInd/>
        <w:snapToGrid/>
        <w:spacing w:line="500" w:lineRule="exact"/>
        <w:ind w:firstLine="502"/>
        <w:textAlignment w:val="auto"/>
        <w:outlineLvl w:val="1"/>
        <w:rPr>
          <w:rFonts w:hint="eastAsia" w:ascii="仿宋" w:hAnsi="仿宋" w:eastAsia="仿宋" w:cs="仿宋"/>
          <w:b w:val="0"/>
          <w:bCs w:val="0"/>
          <w:color w:val="auto"/>
          <w:spacing w:val="0"/>
          <w:sz w:val="25"/>
          <w:szCs w:val="25"/>
          <w:lang w:val="en-US" w:eastAsia="zh-CN"/>
        </w:rPr>
      </w:pPr>
      <w:bookmarkStart w:id="35" w:name="_Toc24526"/>
      <w:bookmarkStart w:id="36" w:name="_Toc2728"/>
      <w:bookmarkStart w:id="37" w:name="_Toc35393800"/>
      <w:bookmarkStart w:id="38" w:name="_Toc20793"/>
      <w:bookmarkStart w:id="39" w:name="_Toc35393631"/>
      <w:bookmarkStart w:id="40" w:name="_Toc8509"/>
      <w:bookmarkStart w:id="41" w:name="_Toc23214"/>
      <w:bookmarkStart w:id="42" w:name="_Toc28359091"/>
      <w:bookmarkStart w:id="43" w:name="_Toc28359014"/>
      <w:bookmarkStart w:id="44" w:name="_Toc28936"/>
      <w:bookmarkStart w:id="45" w:name="_Toc30695"/>
      <w:r>
        <w:rPr>
          <w:rFonts w:hint="eastAsia" w:ascii="仿宋" w:hAnsi="仿宋" w:eastAsia="仿宋" w:cs="仿宋"/>
          <w:b w:val="0"/>
          <w:bCs w:val="0"/>
          <w:color w:val="auto"/>
          <w:spacing w:val="0"/>
          <w:sz w:val="25"/>
          <w:szCs w:val="25"/>
          <w:lang w:val="en-US" w:eastAsia="zh-CN"/>
        </w:rPr>
        <w:t>2、本项目的特定资格要求：</w:t>
      </w:r>
    </w:p>
    <w:p>
      <w:pPr>
        <w:pStyle w:val="5"/>
        <w:keepNext w:val="0"/>
        <w:keepLines w:val="0"/>
        <w:pageBreakBefore w:val="0"/>
        <w:widowControl w:val="0"/>
        <w:kinsoku/>
        <w:wordWrap/>
        <w:overflowPunct/>
        <w:topLinePunct w:val="0"/>
        <w:autoSpaceDE/>
        <w:autoSpaceDN/>
        <w:bidi w:val="0"/>
        <w:adjustRightInd/>
        <w:snapToGrid/>
        <w:spacing w:line="500" w:lineRule="exact"/>
        <w:ind w:firstLine="502"/>
        <w:textAlignment w:val="auto"/>
        <w:outlineLvl w:val="1"/>
        <w:rPr>
          <w:rFonts w:hint="eastAsia" w:ascii="仿宋" w:hAnsi="仿宋" w:eastAsia="仿宋" w:cs="仿宋"/>
          <w:b w:val="0"/>
          <w:bCs w:val="0"/>
          <w:color w:val="FF0000"/>
          <w:spacing w:val="0"/>
          <w:sz w:val="25"/>
          <w:szCs w:val="25"/>
          <w:lang w:val="en-US" w:eastAsia="zh-CN"/>
        </w:rPr>
      </w:pPr>
      <w:r>
        <w:rPr>
          <w:rFonts w:hint="eastAsia" w:ascii="仿宋" w:hAnsi="仿宋" w:eastAsia="仿宋" w:cs="仿宋"/>
          <w:b w:val="0"/>
          <w:bCs w:val="0"/>
          <w:color w:val="FF0000"/>
          <w:spacing w:val="0"/>
          <w:sz w:val="25"/>
          <w:szCs w:val="25"/>
          <w:lang w:val="en-US" w:eastAsia="zh-CN"/>
        </w:rPr>
        <w:t>1）须具有并提供建设行政主管部门核发的施工劳务资质或施工劳务企业备案资质；</w:t>
      </w:r>
    </w:p>
    <w:p>
      <w:pPr>
        <w:pStyle w:val="5"/>
        <w:keepNext w:val="0"/>
        <w:keepLines w:val="0"/>
        <w:pageBreakBefore w:val="0"/>
        <w:widowControl w:val="0"/>
        <w:kinsoku/>
        <w:wordWrap/>
        <w:overflowPunct/>
        <w:topLinePunct w:val="0"/>
        <w:autoSpaceDE/>
        <w:autoSpaceDN/>
        <w:bidi w:val="0"/>
        <w:adjustRightInd/>
        <w:snapToGrid/>
        <w:spacing w:line="500" w:lineRule="exact"/>
        <w:ind w:firstLine="502"/>
        <w:textAlignment w:val="auto"/>
        <w:outlineLvl w:val="1"/>
        <w:rPr>
          <w:rFonts w:hint="eastAsia" w:ascii="仿宋" w:hAnsi="仿宋" w:eastAsia="仿宋" w:cs="仿宋"/>
          <w:b w:val="0"/>
          <w:bCs w:val="0"/>
          <w:color w:val="FF0000"/>
          <w:spacing w:val="0"/>
          <w:sz w:val="25"/>
          <w:szCs w:val="25"/>
          <w:lang w:val="en-US" w:eastAsia="zh-CN"/>
        </w:rPr>
      </w:pPr>
      <w:r>
        <w:rPr>
          <w:rFonts w:hint="eastAsia" w:ascii="仿宋" w:hAnsi="仿宋" w:eastAsia="仿宋" w:cs="仿宋"/>
          <w:b w:val="0"/>
          <w:bCs w:val="0"/>
          <w:color w:val="FF0000"/>
          <w:spacing w:val="0"/>
          <w:sz w:val="25"/>
          <w:szCs w:val="25"/>
          <w:lang w:val="en-US" w:eastAsia="zh-CN"/>
        </w:rPr>
        <w:t>2）须具有并提供有效的安全生产许可证。</w:t>
      </w:r>
    </w:p>
    <w:p>
      <w:pPr>
        <w:pStyle w:val="5"/>
        <w:keepNext w:val="0"/>
        <w:keepLines w:val="0"/>
        <w:pageBreakBefore w:val="0"/>
        <w:widowControl w:val="0"/>
        <w:kinsoku/>
        <w:wordWrap/>
        <w:overflowPunct/>
        <w:topLinePunct w:val="0"/>
        <w:autoSpaceDE/>
        <w:autoSpaceDN/>
        <w:bidi w:val="0"/>
        <w:adjustRightInd/>
        <w:snapToGrid/>
        <w:spacing w:line="500" w:lineRule="exact"/>
        <w:ind w:firstLine="502"/>
        <w:textAlignment w:val="auto"/>
        <w:outlineLvl w:val="1"/>
        <w:rPr>
          <w:rFonts w:hint="eastAsia" w:ascii="仿宋" w:hAnsi="仿宋" w:eastAsia="仿宋" w:cs="仿宋"/>
          <w:b/>
          <w:color w:val="auto"/>
          <w:spacing w:val="0"/>
          <w:sz w:val="25"/>
          <w:szCs w:val="25"/>
        </w:rPr>
      </w:pPr>
      <w:r>
        <w:rPr>
          <w:rFonts w:hint="eastAsia" w:ascii="仿宋" w:hAnsi="仿宋" w:eastAsia="仿宋" w:cs="仿宋"/>
          <w:b/>
          <w:bCs/>
          <w:color w:val="auto"/>
          <w:spacing w:val="0"/>
          <w:sz w:val="25"/>
          <w:szCs w:val="25"/>
          <w:lang w:val="en-US" w:eastAsia="zh-CN"/>
        </w:rPr>
        <w:t>（四）获取文件</w:t>
      </w:r>
      <w:bookmarkEnd w:id="35"/>
      <w:bookmarkEnd w:id="36"/>
      <w:bookmarkEnd w:id="37"/>
      <w:bookmarkEnd w:id="38"/>
      <w:bookmarkEnd w:id="39"/>
      <w:bookmarkEnd w:id="40"/>
      <w:bookmarkEnd w:id="41"/>
      <w:bookmarkEnd w:id="42"/>
      <w:bookmarkEnd w:id="43"/>
      <w:bookmarkEnd w:id="44"/>
      <w:bookmarkEnd w:id="45"/>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FF0000"/>
          <w:spacing w:val="0"/>
          <w:sz w:val="25"/>
          <w:szCs w:val="25"/>
          <w:lang w:val="en-US" w:eastAsia="zh-CN"/>
        </w:rPr>
      </w:pPr>
      <w:bookmarkStart w:id="46" w:name="_Toc28359092"/>
      <w:bookmarkStart w:id="47" w:name="_Toc35393632"/>
      <w:bookmarkStart w:id="48" w:name="_Toc35393801"/>
      <w:bookmarkStart w:id="49" w:name="_Toc28359015"/>
      <w:r>
        <w:rPr>
          <w:rFonts w:hint="eastAsia" w:ascii="仿宋" w:hAnsi="仿宋" w:eastAsia="仿宋" w:cs="仿宋"/>
          <w:b w:val="0"/>
          <w:bCs/>
          <w:color w:val="FF0000"/>
          <w:spacing w:val="0"/>
          <w:sz w:val="25"/>
          <w:szCs w:val="25"/>
          <w:lang w:val="en-US" w:eastAsia="zh-CN"/>
        </w:rPr>
        <w:t>时间：2024年05月20日至2024年05月22日，每天上午08:30至12:00，下午14:30至17:30（北京时间，法定节假日除外）。</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方式：现场获取或网上获取,通过电子邮件方式获取的（邮箱地址：dxjy5677488@163.com）</w:t>
      </w:r>
    </w:p>
    <w:bookmarkEnd w:id="46"/>
    <w:bookmarkEnd w:id="47"/>
    <w:bookmarkEnd w:id="48"/>
    <w:bookmarkEnd w:id="49"/>
    <w:p>
      <w:pPr>
        <w:keepNext w:val="0"/>
        <w:keepLines w:val="0"/>
        <w:pageBreakBefore w:val="0"/>
        <w:widowControl w:val="0"/>
        <w:kinsoku/>
        <w:wordWrap/>
        <w:overflowPunct/>
        <w:topLinePunct w:val="0"/>
        <w:autoSpaceDE/>
        <w:autoSpaceDN/>
        <w:bidi w:val="0"/>
        <w:adjustRightInd/>
        <w:snapToGrid/>
        <w:spacing w:line="500" w:lineRule="exact"/>
        <w:ind w:firstLine="540"/>
        <w:textAlignment w:val="auto"/>
        <w:outlineLvl w:val="1"/>
        <w:rPr>
          <w:rFonts w:hint="eastAsia" w:ascii="仿宋" w:hAnsi="仿宋" w:eastAsia="仿宋" w:cs="仿宋"/>
          <w:b/>
          <w:bCs/>
          <w:color w:val="auto"/>
          <w:spacing w:val="0"/>
          <w:sz w:val="25"/>
          <w:szCs w:val="25"/>
          <w:lang w:val="en-US" w:eastAsia="zh-CN"/>
        </w:rPr>
      </w:pPr>
      <w:bookmarkStart w:id="50" w:name="_Toc27090"/>
      <w:bookmarkStart w:id="51" w:name="_Toc21338"/>
      <w:bookmarkStart w:id="52" w:name="_Toc28284"/>
      <w:bookmarkStart w:id="53" w:name="_Toc3523"/>
      <w:bookmarkStart w:id="54" w:name="_Toc29725"/>
      <w:bookmarkStart w:id="55" w:name="_Toc8629"/>
      <w:bookmarkStart w:id="56" w:name="_Toc23976"/>
      <w:r>
        <w:rPr>
          <w:rFonts w:hint="eastAsia" w:ascii="仿宋" w:hAnsi="仿宋" w:eastAsia="仿宋" w:cs="仿宋"/>
          <w:b/>
          <w:bCs/>
          <w:color w:val="auto"/>
          <w:spacing w:val="0"/>
          <w:sz w:val="25"/>
          <w:szCs w:val="25"/>
          <w:lang w:val="en-US" w:eastAsia="zh-CN"/>
        </w:rPr>
        <w:t>（五）提交</w:t>
      </w:r>
      <w:r>
        <w:rPr>
          <w:rFonts w:hint="eastAsia" w:ascii="仿宋" w:hAnsi="仿宋" w:eastAsia="仿宋" w:cs="仿宋"/>
          <w:b/>
          <w:color w:val="auto"/>
          <w:spacing w:val="0"/>
          <w:sz w:val="25"/>
          <w:szCs w:val="25"/>
        </w:rPr>
        <w:t>文件</w:t>
      </w:r>
      <w:r>
        <w:rPr>
          <w:rFonts w:hint="eastAsia" w:ascii="仿宋" w:hAnsi="仿宋" w:eastAsia="仿宋" w:cs="仿宋"/>
          <w:b/>
          <w:bCs/>
          <w:color w:val="auto"/>
          <w:spacing w:val="0"/>
          <w:sz w:val="25"/>
          <w:szCs w:val="25"/>
          <w:lang w:val="en-US" w:eastAsia="zh-CN"/>
        </w:rPr>
        <w:t>时间</w:t>
      </w:r>
      <w:bookmarkEnd w:id="50"/>
      <w:bookmarkEnd w:id="51"/>
      <w:bookmarkEnd w:id="52"/>
      <w:bookmarkEnd w:id="53"/>
      <w:bookmarkEnd w:id="54"/>
      <w:bookmarkEnd w:id="55"/>
      <w:bookmarkEnd w:id="56"/>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FF0000"/>
          <w:spacing w:val="0"/>
          <w:sz w:val="25"/>
          <w:szCs w:val="25"/>
          <w:lang w:val="en-US" w:eastAsia="zh-CN"/>
        </w:rPr>
      </w:pPr>
      <w:r>
        <w:rPr>
          <w:rFonts w:hint="eastAsia" w:ascii="仿宋" w:hAnsi="仿宋" w:eastAsia="仿宋" w:cs="仿宋"/>
          <w:b w:val="0"/>
          <w:bCs/>
          <w:color w:val="FF0000"/>
          <w:spacing w:val="0"/>
          <w:sz w:val="25"/>
          <w:szCs w:val="25"/>
          <w:lang w:val="en-US" w:eastAsia="zh-CN"/>
        </w:rPr>
        <w:t>截止时间：2024年05月23日09点30分（北京时间）</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0"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地点：会昌县德欣教育科技有限公司会议室（会昌县月亮湾商会大厦七楼）</w:t>
      </w:r>
    </w:p>
    <w:p>
      <w:pPr>
        <w:keepNext w:val="0"/>
        <w:keepLines w:val="0"/>
        <w:pageBreakBefore w:val="0"/>
        <w:widowControl w:val="0"/>
        <w:kinsoku/>
        <w:wordWrap/>
        <w:overflowPunct/>
        <w:topLinePunct w:val="0"/>
        <w:autoSpaceDE/>
        <w:autoSpaceDN/>
        <w:bidi w:val="0"/>
        <w:adjustRightInd/>
        <w:snapToGrid/>
        <w:spacing w:line="500" w:lineRule="exact"/>
        <w:ind w:firstLine="540"/>
        <w:textAlignment w:val="auto"/>
        <w:outlineLvl w:val="1"/>
        <w:rPr>
          <w:rFonts w:hint="eastAsia" w:ascii="仿宋" w:hAnsi="仿宋" w:eastAsia="仿宋" w:cs="仿宋"/>
          <w:b/>
          <w:bCs/>
          <w:color w:val="auto"/>
          <w:spacing w:val="0"/>
          <w:sz w:val="25"/>
          <w:szCs w:val="25"/>
          <w:lang w:val="en-US" w:eastAsia="zh-CN"/>
        </w:rPr>
      </w:pPr>
      <w:bookmarkStart w:id="57" w:name="_Toc16357"/>
      <w:bookmarkStart w:id="58" w:name="_Toc610"/>
      <w:bookmarkStart w:id="59" w:name="_Toc31883"/>
      <w:bookmarkStart w:id="60" w:name="_Toc22543"/>
      <w:bookmarkStart w:id="61" w:name="_Toc18623"/>
      <w:bookmarkStart w:id="62" w:name="_Toc2163"/>
      <w:bookmarkStart w:id="63" w:name="_Toc19427"/>
      <w:r>
        <w:rPr>
          <w:rFonts w:hint="eastAsia" w:ascii="仿宋" w:hAnsi="仿宋" w:eastAsia="仿宋" w:cs="仿宋"/>
          <w:b/>
          <w:bCs/>
          <w:color w:val="auto"/>
          <w:spacing w:val="0"/>
          <w:sz w:val="25"/>
          <w:szCs w:val="25"/>
          <w:lang w:val="en-US" w:eastAsia="zh-CN"/>
        </w:rPr>
        <w:t>（六）开启时间</w:t>
      </w:r>
      <w:bookmarkEnd w:id="57"/>
      <w:bookmarkEnd w:id="58"/>
      <w:bookmarkEnd w:id="59"/>
      <w:bookmarkEnd w:id="60"/>
      <w:bookmarkEnd w:id="61"/>
      <w:bookmarkEnd w:id="62"/>
      <w:bookmarkEnd w:id="63"/>
    </w:p>
    <w:p>
      <w:pPr>
        <w:keepNext w:val="0"/>
        <w:keepLines w:val="0"/>
        <w:pageBreakBefore w:val="0"/>
        <w:widowControl w:val="0"/>
        <w:kinsoku/>
        <w:wordWrap/>
        <w:overflowPunct/>
        <w:topLinePunct w:val="0"/>
        <w:autoSpaceDE/>
        <w:autoSpaceDN/>
        <w:bidi w:val="0"/>
        <w:adjustRightInd/>
        <w:snapToGrid/>
        <w:spacing w:line="500" w:lineRule="exact"/>
        <w:ind w:firstLine="540"/>
        <w:textAlignment w:val="auto"/>
        <w:rPr>
          <w:rFonts w:hint="eastAsia" w:ascii="仿宋" w:hAnsi="仿宋" w:eastAsia="仿宋" w:cs="仿宋"/>
          <w:color w:val="FF0000"/>
          <w:spacing w:val="0"/>
          <w:sz w:val="25"/>
          <w:szCs w:val="25"/>
          <w:lang w:val="en-US" w:eastAsia="zh-CN"/>
        </w:rPr>
      </w:pPr>
      <w:r>
        <w:rPr>
          <w:rFonts w:hint="eastAsia" w:ascii="仿宋" w:hAnsi="仿宋" w:eastAsia="仿宋" w:cs="仿宋"/>
          <w:color w:val="FF0000"/>
          <w:spacing w:val="0"/>
          <w:sz w:val="25"/>
          <w:szCs w:val="25"/>
          <w:lang w:val="en-US" w:eastAsia="zh-CN"/>
        </w:rPr>
        <w:t>开启时间：2024年05月23</w:t>
      </w:r>
      <w:bookmarkStart w:id="85" w:name="_GoBack"/>
      <w:bookmarkEnd w:id="85"/>
      <w:r>
        <w:rPr>
          <w:rFonts w:hint="eastAsia" w:ascii="仿宋" w:hAnsi="仿宋" w:eastAsia="仿宋" w:cs="仿宋"/>
          <w:color w:val="FF0000"/>
          <w:spacing w:val="0"/>
          <w:sz w:val="25"/>
          <w:szCs w:val="25"/>
          <w:lang w:val="en-US" w:eastAsia="zh-CN"/>
        </w:rPr>
        <w:t>日09点30分（北京时间）</w:t>
      </w:r>
    </w:p>
    <w:p>
      <w:pPr>
        <w:keepNext w:val="0"/>
        <w:keepLines w:val="0"/>
        <w:pageBreakBefore w:val="0"/>
        <w:widowControl w:val="0"/>
        <w:kinsoku/>
        <w:wordWrap/>
        <w:overflowPunct/>
        <w:topLinePunct w:val="0"/>
        <w:autoSpaceDE/>
        <w:autoSpaceDN/>
        <w:bidi w:val="0"/>
        <w:adjustRightInd/>
        <w:snapToGrid/>
        <w:spacing w:line="500" w:lineRule="exact"/>
        <w:ind w:firstLine="540"/>
        <w:textAlignment w:val="auto"/>
        <w:rPr>
          <w:rFonts w:hint="eastAsia" w:ascii="仿宋" w:hAnsi="仿宋" w:eastAsia="仿宋" w:cs="仿宋"/>
          <w:color w:val="auto"/>
          <w:spacing w:val="0"/>
          <w:sz w:val="25"/>
          <w:szCs w:val="25"/>
          <w:lang w:val="en-US" w:eastAsia="zh-CN"/>
        </w:rPr>
      </w:pPr>
      <w:r>
        <w:rPr>
          <w:rFonts w:hint="eastAsia" w:ascii="仿宋" w:hAnsi="仿宋" w:eastAsia="仿宋" w:cs="仿宋"/>
          <w:color w:val="auto"/>
          <w:spacing w:val="0"/>
          <w:sz w:val="25"/>
          <w:szCs w:val="25"/>
          <w:lang w:val="en-US" w:eastAsia="zh-CN"/>
        </w:rPr>
        <w:t>地点：</w:t>
      </w:r>
      <w:r>
        <w:rPr>
          <w:rFonts w:hint="eastAsia" w:ascii="仿宋" w:hAnsi="仿宋" w:eastAsia="仿宋" w:cs="仿宋"/>
          <w:color w:val="auto"/>
          <w:spacing w:val="0"/>
          <w:sz w:val="25"/>
          <w:szCs w:val="25"/>
          <w:lang w:val="en-US" w:eastAsia="zh-CN"/>
        </w:rPr>
        <w:t>会昌县德欣教育科技有限公司会议室</w:t>
      </w:r>
      <w:r>
        <w:rPr>
          <w:rFonts w:hint="eastAsia" w:ascii="仿宋" w:hAnsi="仿宋" w:eastAsia="仿宋" w:cs="仿宋"/>
          <w:color w:val="auto"/>
          <w:spacing w:val="0"/>
          <w:sz w:val="25"/>
          <w:szCs w:val="25"/>
          <w:lang w:val="en-US" w:eastAsia="zh-CN"/>
        </w:rPr>
        <w:t>（会昌县月亮湾商会大厦七楼）</w:t>
      </w:r>
    </w:p>
    <w:p>
      <w:pPr>
        <w:keepNext w:val="0"/>
        <w:keepLines w:val="0"/>
        <w:pageBreakBefore w:val="0"/>
        <w:widowControl w:val="0"/>
        <w:kinsoku/>
        <w:wordWrap/>
        <w:overflowPunct/>
        <w:topLinePunct w:val="0"/>
        <w:autoSpaceDE/>
        <w:autoSpaceDN/>
        <w:bidi w:val="0"/>
        <w:adjustRightInd/>
        <w:snapToGrid/>
        <w:spacing w:line="500" w:lineRule="exact"/>
        <w:ind w:firstLine="540"/>
        <w:textAlignment w:val="auto"/>
        <w:outlineLvl w:val="1"/>
        <w:rPr>
          <w:rFonts w:hint="eastAsia" w:ascii="仿宋" w:hAnsi="仿宋" w:eastAsia="仿宋" w:cs="仿宋"/>
          <w:b/>
          <w:bCs/>
          <w:color w:val="auto"/>
          <w:spacing w:val="0"/>
          <w:sz w:val="25"/>
          <w:szCs w:val="25"/>
          <w:lang w:val="en-US" w:eastAsia="zh-CN"/>
        </w:rPr>
      </w:pPr>
      <w:bookmarkStart w:id="64" w:name="_Toc21422"/>
      <w:bookmarkStart w:id="65" w:name="_Toc6441"/>
      <w:bookmarkStart w:id="66" w:name="_Toc5519"/>
      <w:bookmarkStart w:id="67" w:name="_Toc18939"/>
      <w:bookmarkStart w:id="68" w:name="_Toc31031"/>
      <w:bookmarkStart w:id="69" w:name="_Toc22762"/>
      <w:bookmarkStart w:id="70" w:name="_Toc28507"/>
      <w:r>
        <w:rPr>
          <w:rFonts w:hint="eastAsia" w:ascii="仿宋" w:hAnsi="仿宋" w:eastAsia="仿宋" w:cs="仿宋"/>
          <w:b/>
          <w:bCs/>
          <w:color w:val="auto"/>
          <w:spacing w:val="0"/>
          <w:sz w:val="25"/>
          <w:szCs w:val="25"/>
          <w:lang w:val="en-US" w:eastAsia="zh-CN"/>
        </w:rPr>
        <w:t>（七）其他补充事宜</w:t>
      </w:r>
      <w:bookmarkEnd w:id="64"/>
      <w:bookmarkEnd w:id="65"/>
      <w:bookmarkEnd w:id="66"/>
      <w:bookmarkEnd w:id="67"/>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2"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bCs w:val="0"/>
          <w:color w:val="auto"/>
          <w:spacing w:val="0"/>
          <w:sz w:val="25"/>
          <w:szCs w:val="25"/>
          <w:lang w:val="en-US" w:eastAsia="zh-CN"/>
        </w:rPr>
        <w:t>1、响应须知：</w:t>
      </w:r>
      <w:r>
        <w:rPr>
          <w:rFonts w:hint="eastAsia" w:ascii="仿宋" w:hAnsi="仿宋" w:eastAsia="仿宋" w:cs="仿宋"/>
          <w:b w:val="0"/>
          <w:bCs/>
          <w:color w:val="auto"/>
          <w:spacing w:val="0"/>
          <w:sz w:val="25"/>
          <w:szCs w:val="25"/>
          <w:lang w:val="en-US" w:eastAsia="zh-CN"/>
        </w:rPr>
        <w:t>请响应供应商的法定代表人（经营者、单位负责人）或其授权代表出席开启大会。响应文件需须加盖公章且胶装或装订成册，逾期或不符合规定的响应文件恕不接受。</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02" w:firstLineChars="200"/>
        <w:textAlignment w:val="auto"/>
        <w:rPr>
          <w:rFonts w:hint="eastAsia" w:ascii="仿宋" w:hAnsi="仿宋" w:eastAsia="仿宋" w:cs="仿宋"/>
          <w:b w:val="0"/>
          <w:bCs/>
          <w:color w:val="auto"/>
          <w:spacing w:val="0"/>
          <w:sz w:val="25"/>
          <w:szCs w:val="25"/>
          <w:lang w:val="en-US" w:eastAsia="zh-CN"/>
        </w:rPr>
      </w:pPr>
      <w:r>
        <w:rPr>
          <w:rFonts w:hint="eastAsia" w:ascii="仿宋" w:hAnsi="仿宋" w:eastAsia="仿宋" w:cs="仿宋"/>
          <w:b/>
          <w:bCs w:val="0"/>
          <w:color w:val="auto"/>
          <w:spacing w:val="0"/>
          <w:sz w:val="25"/>
          <w:szCs w:val="25"/>
          <w:lang w:val="en-US" w:eastAsia="zh-CN"/>
        </w:rPr>
        <w:t>2、竞价方式：</w:t>
      </w:r>
      <w:r>
        <w:rPr>
          <w:rFonts w:hint="eastAsia" w:ascii="仿宋" w:hAnsi="仿宋" w:eastAsia="仿宋" w:cs="仿宋"/>
          <w:b w:val="0"/>
          <w:bCs/>
          <w:color w:val="auto"/>
          <w:spacing w:val="0"/>
          <w:sz w:val="25"/>
          <w:szCs w:val="25"/>
          <w:lang w:val="en-US" w:eastAsia="zh-CN"/>
        </w:rPr>
        <w:t>开启结束后，采购小组在资格审查结束后，要求符合条件的所有参加竞价的响应供应商在规定的时间内提出最终报价（二次报价）。最终报价（二次报价）在没有修正参数的前提下，最终报价（二次报价）不得高于一次报价，否则视为无效响应。在修正参数的前提下，最终报价（二次报价）可高于一次报价。响应报价（二次报价）为一次性不得修改的最终报价，任何有选择的报价都将被拒绝。</w:t>
      </w:r>
    </w:p>
    <w:p>
      <w:pPr>
        <w:keepNext w:val="0"/>
        <w:keepLines w:val="0"/>
        <w:pageBreakBefore w:val="0"/>
        <w:widowControl w:val="0"/>
        <w:kinsoku/>
        <w:wordWrap/>
        <w:overflowPunct/>
        <w:topLinePunct w:val="0"/>
        <w:autoSpaceDE/>
        <w:autoSpaceDN/>
        <w:bidi w:val="0"/>
        <w:adjustRightInd/>
        <w:snapToGrid/>
        <w:spacing w:line="520" w:lineRule="exact"/>
        <w:ind w:firstLine="492" w:firstLineChars="196"/>
        <w:textAlignment w:val="auto"/>
        <w:outlineLvl w:val="1"/>
        <w:rPr>
          <w:rFonts w:hint="eastAsia" w:ascii="仿宋" w:hAnsi="仿宋" w:eastAsia="仿宋" w:cs="仿宋"/>
          <w:b/>
          <w:bCs w:val="0"/>
          <w:color w:val="auto"/>
          <w:spacing w:val="0"/>
          <w:sz w:val="25"/>
          <w:szCs w:val="25"/>
          <w:lang w:val="en-US" w:eastAsia="zh-CN"/>
        </w:rPr>
      </w:pPr>
      <w:r>
        <w:rPr>
          <w:rFonts w:hint="eastAsia" w:ascii="仿宋" w:hAnsi="仿宋" w:eastAsia="仿宋" w:cs="仿宋"/>
          <w:b/>
          <w:bCs w:val="0"/>
          <w:color w:val="auto"/>
          <w:spacing w:val="0"/>
          <w:sz w:val="25"/>
          <w:szCs w:val="25"/>
          <w:lang w:val="en-US" w:eastAsia="zh-CN"/>
        </w:rPr>
        <w:t>3、付款方法：</w:t>
      </w:r>
      <w:bookmarkEnd w:id="68"/>
      <w:bookmarkEnd w:id="69"/>
      <w:bookmarkEnd w:id="70"/>
      <w:bookmarkStart w:id="71" w:name="_Toc8740"/>
      <w:bookmarkStart w:id="72" w:name="_Toc30507"/>
      <w:bookmarkStart w:id="73" w:name="_Toc6359"/>
      <w:bookmarkStart w:id="74" w:name="_Toc25855"/>
      <w:bookmarkStart w:id="75" w:name="_Toc5454"/>
      <w:bookmarkStart w:id="76" w:name="_Toc26937"/>
    </w:p>
    <w:p>
      <w:pPr>
        <w:keepNext w:val="0"/>
        <w:keepLines w:val="0"/>
        <w:pageBreakBefore w:val="0"/>
        <w:widowControl w:val="0"/>
        <w:kinsoku/>
        <w:wordWrap/>
        <w:overflowPunct/>
        <w:topLinePunct w:val="0"/>
        <w:autoSpaceDE/>
        <w:autoSpaceDN/>
        <w:bidi w:val="0"/>
        <w:adjustRightInd/>
        <w:snapToGrid/>
        <w:spacing w:line="520" w:lineRule="exact"/>
        <w:ind w:firstLine="490" w:firstLineChars="196"/>
        <w:textAlignment w:val="auto"/>
        <w:outlineLvl w:val="1"/>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1）按进度付款；每月支付经甲方或监理确认已完合格工程量工程款的80%；</w:t>
      </w:r>
    </w:p>
    <w:p>
      <w:pPr>
        <w:keepNext w:val="0"/>
        <w:keepLines w:val="0"/>
        <w:pageBreakBefore w:val="0"/>
        <w:widowControl w:val="0"/>
        <w:kinsoku/>
        <w:wordWrap/>
        <w:overflowPunct/>
        <w:topLinePunct w:val="0"/>
        <w:autoSpaceDE/>
        <w:autoSpaceDN/>
        <w:bidi w:val="0"/>
        <w:adjustRightInd/>
        <w:snapToGrid/>
        <w:spacing w:line="520" w:lineRule="exact"/>
        <w:ind w:firstLine="490" w:firstLineChars="196"/>
        <w:textAlignment w:val="auto"/>
        <w:outlineLvl w:val="1"/>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2）工程竣工验收合格后，支付已完合格工程量工程价款的85%；</w:t>
      </w:r>
    </w:p>
    <w:p>
      <w:pPr>
        <w:keepNext w:val="0"/>
        <w:keepLines w:val="0"/>
        <w:pageBreakBefore w:val="0"/>
        <w:widowControl w:val="0"/>
        <w:kinsoku/>
        <w:wordWrap/>
        <w:overflowPunct/>
        <w:topLinePunct w:val="0"/>
        <w:autoSpaceDE/>
        <w:autoSpaceDN/>
        <w:bidi w:val="0"/>
        <w:adjustRightInd/>
        <w:snapToGrid/>
        <w:spacing w:line="520" w:lineRule="exact"/>
        <w:ind w:firstLine="490" w:firstLineChars="196"/>
        <w:textAlignment w:val="auto"/>
        <w:outlineLvl w:val="1"/>
        <w:rPr>
          <w:rFonts w:hint="eastAsia" w:ascii="仿宋" w:hAnsi="仿宋" w:eastAsia="仿宋" w:cs="仿宋"/>
          <w:b w:val="0"/>
          <w:bCs/>
          <w:color w:val="auto"/>
          <w:spacing w:val="0"/>
          <w:sz w:val="25"/>
          <w:szCs w:val="25"/>
          <w:lang w:val="en-US" w:eastAsia="zh-CN"/>
        </w:rPr>
      </w:pPr>
      <w:r>
        <w:rPr>
          <w:rFonts w:hint="eastAsia" w:ascii="仿宋" w:hAnsi="仿宋" w:eastAsia="仿宋" w:cs="仿宋"/>
          <w:b w:val="0"/>
          <w:bCs/>
          <w:color w:val="auto"/>
          <w:spacing w:val="0"/>
          <w:sz w:val="25"/>
          <w:szCs w:val="25"/>
          <w:lang w:val="en-US" w:eastAsia="zh-CN"/>
        </w:rPr>
        <w:t>3）办理完财政审计（或第三方）结算审核后，付至审核结算总价的97%，剩余3%作为质量保修金。质量保修金在保修期满后一个月内，若工程无质量问题则一次性无息退还。分包单位的处罚金额在工程进度款中扣除。</w:t>
      </w:r>
    </w:p>
    <w:p>
      <w:pPr>
        <w:keepNext w:val="0"/>
        <w:keepLines w:val="0"/>
        <w:pageBreakBefore w:val="0"/>
        <w:widowControl w:val="0"/>
        <w:kinsoku/>
        <w:wordWrap/>
        <w:overflowPunct/>
        <w:topLinePunct w:val="0"/>
        <w:autoSpaceDE/>
        <w:autoSpaceDN/>
        <w:bidi w:val="0"/>
        <w:adjustRightInd/>
        <w:snapToGrid/>
        <w:spacing w:line="520" w:lineRule="exact"/>
        <w:ind w:firstLine="492" w:firstLineChars="196"/>
        <w:textAlignment w:val="auto"/>
        <w:outlineLvl w:val="1"/>
        <w:rPr>
          <w:rFonts w:hint="eastAsia" w:ascii="仿宋" w:hAnsi="仿宋" w:eastAsia="仿宋" w:cs="仿宋"/>
          <w:b/>
          <w:bCs w:val="0"/>
          <w:color w:val="auto"/>
          <w:spacing w:val="0"/>
          <w:sz w:val="25"/>
          <w:szCs w:val="25"/>
        </w:rPr>
      </w:pPr>
      <w:r>
        <w:rPr>
          <w:rFonts w:hint="eastAsia" w:ascii="仿宋" w:hAnsi="仿宋" w:eastAsia="仿宋" w:cs="仿宋"/>
          <w:b/>
          <w:bCs w:val="0"/>
          <w:color w:val="auto"/>
          <w:spacing w:val="0"/>
          <w:sz w:val="25"/>
          <w:szCs w:val="25"/>
          <w:lang w:val="en-US" w:eastAsia="zh-CN"/>
        </w:rPr>
        <w:t>（八）</w:t>
      </w:r>
      <w:r>
        <w:rPr>
          <w:rFonts w:hint="eastAsia" w:ascii="仿宋" w:hAnsi="仿宋" w:eastAsia="仿宋" w:cs="仿宋"/>
          <w:b/>
          <w:bCs w:val="0"/>
          <w:color w:val="auto"/>
          <w:spacing w:val="0"/>
          <w:sz w:val="25"/>
          <w:szCs w:val="25"/>
        </w:rPr>
        <w:t>凡对本次</w:t>
      </w:r>
      <w:r>
        <w:rPr>
          <w:rFonts w:hint="eastAsia" w:ascii="仿宋" w:hAnsi="仿宋" w:eastAsia="仿宋" w:cs="仿宋"/>
          <w:b/>
          <w:bCs w:val="0"/>
          <w:color w:val="auto"/>
          <w:spacing w:val="0"/>
          <w:sz w:val="25"/>
          <w:szCs w:val="25"/>
          <w:lang w:val="en-US" w:eastAsia="zh-CN"/>
        </w:rPr>
        <w:t>采购</w:t>
      </w:r>
      <w:r>
        <w:rPr>
          <w:rFonts w:hint="eastAsia" w:ascii="仿宋" w:hAnsi="仿宋" w:eastAsia="仿宋" w:cs="仿宋"/>
          <w:b/>
          <w:bCs w:val="0"/>
          <w:color w:val="auto"/>
          <w:spacing w:val="0"/>
          <w:sz w:val="25"/>
          <w:szCs w:val="25"/>
        </w:rPr>
        <w:t>提出询问，请按以下方式联系。</w:t>
      </w:r>
      <w:bookmarkEnd w:id="71"/>
      <w:bookmarkEnd w:id="72"/>
      <w:bookmarkEnd w:id="73"/>
      <w:bookmarkEnd w:id="74"/>
      <w:bookmarkEnd w:id="75"/>
      <w:bookmarkEnd w:id="76"/>
    </w:p>
    <w:p>
      <w:pPr>
        <w:keepNext w:val="0"/>
        <w:keepLines w:val="0"/>
        <w:pageBreakBefore w:val="0"/>
        <w:widowControl w:val="0"/>
        <w:kinsoku/>
        <w:wordWrap/>
        <w:overflowPunct/>
        <w:topLinePunct w:val="0"/>
        <w:autoSpaceDE/>
        <w:autoSpaceDN/>
        <w:bidi w:val="0"/>
        <w:adjustRightInd/>
        <w:snapToGrid/>
        <w:spacing w:line="520" w:lineRule="exact"/>
        <w:ind w:left="1091" w:leftChars="371" w:hanging="312" w:hangingChars="125"/>
        <w:jc w:val="left"/>
        <w:textAlignment w:val="auto"/>
        <w:outlineLvl w:val="1"/>
        <w:rPr>
          <w:rFonts w:hint="eastAsia" w:ascii="仿宋" w:hAnsi="仿宋" w:eastAsia="仿宋" w:cs="仿宋"/>
          <w:color w:val="auto"/>
          <w:spacing w:val="0"/>
          <w:sz w:val="25"/>
          <w:szCs w:val="25"/>
        </w:rPr>
      </w:pPr>
      <w:bookmarkStart w:id="77" w:name="_Toc19727"/>
      <w:bookmarkStart w:id="78" w:name="_Toc19133"/>
      <w:bookmarkStart w:id="79" w:name="_Toc35393637"/>
      <w:bookmarkStart w:id="80" w:name="_Toc29416"/>
      <w:bookmarkStart w:id="81" w:name="_Toc24176"/>
      <w:bookmarkStart w:id="82" w:name="_Toc28359096"/>
      <w:bookmarkStart w:id="83" w:name="_Toc28359019"/>
      <w:bookmarkStart w:id="84" w:name="_Toc35393806"/>
      <w:r>
        <w:rPr>
          <w:rFonts w:hint="eastAsia" w:ascii="仿宋" w:hAnsi="仿宋" w:eastAsia="仿宋" w:cs="仿宋"/>
          <w:color w:val="auto"/>
          <w:spacing w:val="0"/>
          <w:sz w:val="25"/>
          <w:szCs w:val="25"/>
        </w:rPr>
        <w:t>1.</w:t>
      </w:r>
      <w:r>
        <w:rPr>
          <w:rFonts w:hint="eastAsia" w:ascii="仿宋" w:hAnsi="仿宋" w:eastAsia="仿宋" w:cs="仿宋"/>
          <w:color w:val="auto"/>
          <w:spacing w:val="0"/>
          <w:sz w:val="25"/>
          <w:szCs w:val="25"/>
          <w:lang w:val="en-US" w:eastAsia="zh-CN"/>
        </w:rPr>
        <w:t>招标人</w:t>
      </w:r>
      <w:r>
        <w:rPr>
          <w:rFonts w:hint="eastAsia" w:ascii="仿宋" w:hAnsi="仿宋" w:eastAsia="仿宋" w:cs="仿宋"/>
          <w:color w:val="auto"/>
          <w:spacing w:val="0"/>
          <w:sz w:val="25"/>
          <w:szCs w:val="25"/>
        </w:rPr>
        <w:t>信息</w:t>
      </w:r>
      <w:bookmarkEnd w:id="77"/>
      <w:bookmarkEnd w:id="78"/>
      <w:bookmarkEnd w:id="79"/>
      <w:bookmarkEnd w:id="80"/>
      <w:bookmarkEnd w:id="81"/>
      <w:bookmarkEnd w:id="82"/>
      <w:bookmarkEnd w:id="83"/>
      <w:bookmarkEnd w:id="84"/>
    </w:p>
    <w:p>
      <w:pPr>
        <w:keepNext w:val="0"/>
        <w:keepLines w:val="0"/>
        <w:pageBreakBefore w:val="0"/>
        <w:widowControl w:val="0"/>
        <w:kinsoku/>
        <w:wordWrap/>
        <w:overflowPunct/>
        <w:topLinePunct w:val="0"/>
        <w:autoSpaceDE/>
        <w:autoSpaceDN/>
        <w:bidi w:val="0"/>
        <w:adjustRightInd/>
        <w:snapToGrid/>
        <w:spacing w:line="520" w:lineRule="exact"/>
        <w:ind w:left="1091" w:leftChars="371" w:hanging="312" w:hangingChars="125"/>
        <w:jc w:val="left"/>
        <w:textAlignment w:val="auto"/>
        <w:rPr>
          <w:rFonts w:hint="eastAsia" w:ascii="仿宋" w:hAnsi="仿宋" w:eastAsia="仿宋" w:cs="仿宋"/>
          <w:color w:val="auto"/>
          <w:spacing w:val="0"/>
          <w:sz w:val="25"/>
          <w:szCs w:val="25"/>
          <w:lang w:val="en-US" w:eastAsia="zh-CN"/>
        </w:rPr>
      </w:pPr>
      <w:r>
        <w:rPr>
          <w:rFonts w:hint="eastAsia" w:ascii="仿宋" w:hAnsi="仿宋" w:eastAsia="仿宋" w:cs="仿宋"/>
          <w:color w:val="auto"/>
          <w:spacing w:val="0"/>
          <w:sz w:val="25"/>
          <w:szCs w:val="25"/>
        </w:rPr>
        <w:t>名    称：</w:t>
      </w:r>
      <w:r>
        <w:rPr>
          <w:rFonts w:hint="eastAsia" w:ascii="仿宋" w:hAnsi="仿宋" w:eastAsia="仿宋" w:cs="仿宋"/>
          <w:color w:val="auto"/>
          <w:spacing w:val="0"/>
          <w:sz w:val="25"/>
          <w:szCs w:val="25"/>
          <w:lang w:val="en-US" w:eastAsia="zh-CN"/>
        </w:rPr>
        <w:t>会昌县德欣教育科技有限公司</w:t>
      </w:r>
    </w:p>
    <w:p>
      <w:pPr>
        <w:keepNext w:val="0"/>
        <w:keepLines w:val="0"/>
        <w:pageBreakBefore w:val="0"/>
        <w:widowControl w:val="0"/>
        <w:kinsoku/>
        <w:wordWrap/>
        <w:overflowPunct/>
        <w:topLinePunct w:val="0"/>
        <w:autoSpaceDE/>
        <w:autoSpaceDN/>
        <w:bidi w:val="0"/>
        <w:adjustRightInd/>
        <w:snapToGrid/>
        <w:spacing w:line="520" w:lineRule="exact"/>
        <w:ind w:left="1091" w:leftChars="371" w:hanging="312" w:hangingChars="125"/>
        <w:jc w:val="left"/>
        <w:textAlignment w:val="auto"/>
        <w:rPr>
          <w:rFonts w:hint="eastAsia" w:ascii="仿宋" w:hAnsi="仿宋" w:eastAsia="仿宋" w:cs="仿宋"/>
          <w:color w:val="auto"/>
          <w:spacing w:val="0"/>
          <w:sz w:val="25"/>
          <w:szCs w:val="25"/>
        </w:rPr>
      </w:pPr>
      <w:r>
        <w:rPr>
          <w:rFonts w:hint="eastAsia" w:ascii="仿宋" w:hAnsi="仿宋" w:eastAsia="仿宋" w:cs="仿宋"/>
          <w:color w:val="auto"/>
          <w:spacing w:val="0"/>
          <w:sz w:val="25"/>
          <w:szCs w:val="25"/>
        </w:rPr>
        <w:t>地    址：会昌县月亮湾新区商会大厦</w:t>
      </w:r>
      <w:r>
        <w:rPr>
          <w:rFonts w:hint="eastAsia" w:ascii="仿宋" w:hAnsi="仿宋" w:eastAsia="仿宋" w:cs="仿宋"/>
          <w:color w:val="auto"/>
          <w:spacing w:val="0"/>
          <w:sz w:val="25"/>
          <w:szCs w:val="25"/>
          <w:lang w:val="en-US" w:eastAsia="zh-CN"/>
        </w:rPr>
        <w:t>7</w:t>
      </w:r>
      <w:r>
        <w:rPr>
          <w:rFonts w:hint="eastAsia" w:ascii="仿宋" w:hAnsi="仿宋" w:eastAsia="仿宋" w:cs="仿宋"/>
          <w:color w:val="auto"/>
          <w:spacing w:val="0"/>
          <w:sz w:val="25"/>
          <w:szCs w:val="25"/>
        </w:rPr>
        <w:t>楼</w:t>
      </w:r>
    </w:p>
    <w:p>
      <w:pPr>
        <w:keepNext w:val="0"/>
        <w:keepLines w:val="0"/>
        <w:pageBreakBefore w:val="0"/>
        <w:widowControl w:val="0"/>
        <w:kinsoku/>
        <w:wordWrap/>
        <w:overflowPunct/>
        <w:topLinePunct w:val="0"/>
        <w:autoSpaceDE/>
        <w:autoSpaceDN/>
        <w:bidi w:val="0"/>
        <w:adjustRightInd/>
        <w:snapToGrid/>
        <w:spacing w:line="520" w:lineRule="exact"/>
        <w:ind w:firstLine="750" w:firstLineChars="300"/>
        <w:textAlignment w:val="auto"/>
        <w:rPr>
          <w:rFonts w:hint="eastAsia" w:ascii="仿宋" w:hAnsi="仿宋" w:eastAsia="仿宋" w:cs="仿宋"/>
          <w:color w:val="auto"/>
          <w:spacing w:val="0"/>
          <w:sz w:val="25"/>
          <w:szCs w:val="25"/>
        </w:rPr>
      </w:pPr>
      <w:r>
        <w:rPr>
          <w:rFonts w:hint="eastAsia" w:ascii="仿宋" w:hAnsi="仿宋" w:eastAsia="仿宋" w:cs="仿宋"/>
          <w:color w:val="auto"/>
          <w:spacing w:val="0"/>
          <w:sz w:val="25"/>
          <w:szCs w:val="25"/>
        </w:rPr>
        <w:t>联系方式：</w:t>
      </w:r>
      <w:r>
        <w:rPr>
          <w:rFonts w:hint="eastAsia" w:ascii="仿宋" w:hAnsi="仿宋" w:eastAsia="仿宋" w:cs="仿宋"/>
          <w:color w:val="auto"/>
          <w:spacing w:val="0"/>
          <w:sz w:val="25"/>
          <w:szCs w:val="25"/>
          <w:lang w:val="en-US" w:eastAsia="zh-CN"/>
        </w:rPr>
        <w:t>0797-</w:t>
      </w:r>
      <w:r>
        <w:rPr>
          <w:rFonts w:hint="eastAsia" w:ascii="仿宋" w:hAnsi="仿宋" w:eastAsia="仿宋" w:cs="仿宋"/>
          <w:color w:val="auto"/>
          <w:spacing w:val="0"/>
          <w:sz w:val="25"/>
          <w:szCs w:val="25"/>
        </w:rPr>
        <w:t>5677488</w:t>
      </w:r>
    </w:p>
    <w:p>
      <w:pPr>
        <w:keepNext w:val="0"/>
        <w:keepLines w:val="0"/>
        <w:pageBreakBefore w:val="0"/>
        <w:widowControl w:val="0"/>
        <w:kinsoku/>
        <w:wordWrap/>
        <w:overflowPunct/>
        <w:topLinePunct w:val="0"/>
        <w:autoSpaceDE/>
        <w:autoSpaceDN/>
        <w:bidi w:val="0"/>
        <w:adjustRightInd/>
        <w:snapToGrid/>
        <w:spacing w:line="520" w:lineRule="exact"/>
        <w:ind w:firstLine="750" w:firstLineChars="300"/>
        <w:textAlignment w:val="auto"/>
        <w:rPr>
          <w:rFonts w:hint="eastAsia" w:ascii="仿宋" w:hAnsi="仿宋" w:eastAsia="仿宋" w:cs="仿宋"/>
          <w:color w:val="auto"/>
          <w:spacing w:val="0"/>
          <w:sz w:val="25"/>
          <w:szCs w:val="25"/>
        </w:rPr>
      </w:pPr>
      <w:r>
        <w:rPr>
          <w:rFonts w:hint="eastAsia" w:ascii="仿宋" w:hAnsi="仿宋" w:eastAsia="仿宋" w:cs="仿宋"/>
          <w:color w:val="auto"/>
          <w:spacing w:val="0"/>
          <w:sz w:val="25"/>
          <w:szCs w:val="25"/>
        </w:rPr>
        <w:t>邮   箱:</w:t>
      </w:r>
      <w:r>
        <w:rPr>
          <w:rFonts w:hint="eastAsia" w:ascii="仿宋" w:hAnsi="仿宋" w:eastAsia="仿宋" w:cs="仿宋"/>
          <w:color w:val="auto"/>
          <w:spacing w:val="0"/>
          <w:sz w:val="25"/>
          <w:szCs w:val="25"/>
          <w:u w:val="none"/>
        </w:rPr>
        <w:t xml:space="preserve"> </w:t>
      </w:r>
      <w:r>
        <w:rPr>
          <w:rFonts w:hint="eastAsia" w:ascii="仿宋" w:hAnsi="仿宋" w:eastAsia="仿宋" w:cs="仿宋"/>
          <w:color w:val="auto"/>
          <w:spacing w:val="0"/>
          <w:sz w:val="25"/>
          <w:szCs w:val="25"/>
        </w:rPr>
        <w:fldChar w:fldCharType="begin"/>
      </w:r>
      <w:r>
        <w:rPr>
          <w:rFonts w:hint="eastAsia" w:ascii="仿宋" w:hAnsi="仿宋" w:eastAsia="仿宋" w:cs="仿宋"/>
          <w:color w:val="auto"/>
          <w:spacing w:val="0"/>
          <w:sz w:val="25"/>
          <w:szCs w:val="25"/>
        </w:rPr>
        <w:instrText xml:space="preserve"> HYPERLINK "mailto:dxjy5677488@163.com" </w:instrText>
      </w:r>
      <w:r>
        <w:rPr>
          <w:rFonts w:hint="eastAsia" w:ascii="仿宋" w:hAnsi="仿宋" w:eastAsia="仿宋" w:cs="仿宋"/>
          <w:color w:val="auto"/>
          <w:spacing w:val="0"/>
          <w:sz w:val="25"/>
          <w:szCs w:val="25"/>
        </w:rPr>
        <w:fldChar w:fldCharType="separate"/>
      </w:r>
      <w:r>
        <w:rPr>
          <w:rStyle w:val="4"/>
          <w:rFonts w:hint="eastAsia" w:ascii="仿宋" w:hAnsi="仿宋" w:eastAsia="仿宋" w:cs="仿宋"/>
          <w:color w:val="auto"/>
          <w:spacing w:val="0"/>
          <w:sz w:val="25"/>
          <w:szCs w:val="25"/>
        </w:rPr>
        <w:t>dxjy5677488@163.com</w:t>
      </w:r>
      <w:r>
        <w:rPr>
          <w:rFonts w:hint="eastAsia" w:ascii="仿宋" w:hAnsi="仿宋" w:eastAsia="仿宋" w:cs="仿宋"/>
          <w:color w:val="auto"/>
          <w:spacing w:val="0"/>
          <w:sz w:val="25"/>
          <w:szCs w:val="25"/>
        </w:rPr>
        <w:fldChar w:fldCharType="end"/>
      </w:r>
    </w:p>
    <w:p>
      <w:pPr>
        <w:keepNext w:val="0"/>
        <w:keepLines w:val="0"/>
        <w:pageBreakBefore w:val="0"/>
        <w:widowControl w:val="0"/>
        <w:kinsoku/>
        <w:wordWrap/>
        <w:overflowPunct/>
        <w:topLinePunct w:val="0"/>
        <w:autoSpaceDE/>
        <w:autoSpaceDN/>
        <w:bidi w:val="0"/>
        <w:adjustRightInd/>
        <w:snapToGrid/>
        <w:spacing w:line="520" w:lineRule="exact"/>
        <w:ind w:firstLine="750" w:firstLineChars="300"/>
        <w:textAlignment w:val="auto"/>
        <w:rPr>
          <w:rFonts w:hint="eastAsia" w:ascii="仿宋" w:hAnsi="仿宋" w:eastAsia="仿宋" w:cs="仿宋"/>
          <w:color w:val="auto"/>
          <w:spacing w:val="0"/>
          <w:sz w:val="25"/>
          <w:szCs w:val="25"/>
          <w:lang w:val="en-US" w:eastAsia="zh-CN"/>
        </w:rPr>
      </w:pPr>
      <w:r>
        <w:rPr>
          <w:rFonts w:hint="eastAsia" w:ascii="仿宋" w:hAnsi="仿宋" w:eastAsia="仿宋" w:cs="仿宋"/>
          <w:color w:val="auto"/>
          <w:spacing w:val="0"/>
          <w:sz w:val="25"/>
          <w:szCs w:val="25"/>
          <w:lang w:val="en-US" w:eastAsia="zh-CN"/>
        </w:rPr>
        <w:t>网   址：http://www.hcxcsfztz.cn/</w:t>
      </w:r>
    </w:p>
    <w:p>
      <w:pPr>
        <w:keepNext w:val="0"/>
        <w:keepLines w:val="0"/>
        <w:pageBreakBefore w:val="0"/>
        <w:widowControl w:val="0"/>
        <w:kinsoku/>
        <w:wordWrap/>
        <w:overflowPunct/>
        <w:topLinePunct w:val="0"/>
        <w:autoSpaceDE/>
        <w:autoSpaceDN/>
        <w:bidi w:val="0"/>
        <w:adjustRightInd/>
        <w:snapToGrid/>
        <w:spacing w:line="520" w:lineRule="exact"/>
        <w:ind w:firstLine="750" w:firstLineChars="300"/>
        <w:jc w:val="left"/>
        <w:textAlignment w:val="auto"/>
        <w:rPr>
          <w:rFonts w:hint="eastAsia" w:ascii="仿宋" w:hAnsi="仿宋" w:eastAsia="仿宋" w:cs="仿宋"/>
          <w:color w:val="auto"/>
          <w:spacing w:val="0"/>
          <w:sz w:val="25"/>
          <w:szCs w:val="25"/>
          <w:lang w:val="en-US" w:eastAsia="zh-CN"/>
        </w:rPr>
      </w:pPr>
      <w:r>
        <w:rPr>
          <w:rFonts w:hint="eastAsia" w:ascii="仿宋" w:hAnsi="仿宋" w:eastAsia="仿宋" w:cs="仿宋"/>
          <w:color w:val="auto"/>
          <w:spacing w:val="0"/>
          <w:sz w:val="25"/>
          <w:szCs w:val="25"/>
          <w:lang w:val="en-US" w:eastAsia="zh-CN"/>
        </w:rPr>
        <w:t>2.监督举报电话（县纪委派驻第十纪检监察组）：0797-5623881</w:t>
      </w: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xNDVjYTQ2MDY1OTllOWYyODM3NTVhYTExMWZiM2YifQ=="/>
  </w:docVars>
  <w:rsids>
    <w:rsidRoot w:val="7A2E7E36"/>
    <w:rsid w:val="05972BB7"/>
    <w:rsid w:val="7A2E7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qFormat/>
    <w:uiPriority w:val="99"/>
    <w:rPr>
      <w:color w:val="0000FF"/>
      <w:u w:val="single"/>
    </w:rPr>
  </w:style>
  <w:style w:type="paragraph" w:customStyle="1" w:styleId="5">
    <w:name w:val="标书文本"/>
    <w:qFormat/>
    <w:uiPriority w:val="0"/>
    <w:pPr>
      <w:spacing w:line="360" w:lineRule="auto"/>
      <w:ind w:firstLine="200" w:firstLineChars="200"/>
    </w:pPr>
    <w:rPr>
      <w:rFonts w:ascii="Arial" w:hAnsi="Arial" w:eastAsia="Arial"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27</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2024-05-15T08:50:00Z</dcterms:created>
  <dc:creator>Administrator</dc:creator>
  <cp:lastModifiedBy>Administrator</cp:lastModifiedBy>
  <dcterms:modified xsi:type="dcterms:W3CDTF">2024-05-15T09:18:06Z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6C41F4AE1ED24AFDB13A74344A87BB1C_11</vt:lpwstr>
  </property>
</Properties>
</file>