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江西</w:t>
      </w:r>
      <w:r>
        <w:rPr>
          <w:rFonts w:hint="eastAsia" w:ascii="黑体" w:hAnsi="黑体" w:eastAsia="黑体" w:cs="黑体"/>
          <w:sz w:val="28"/>
          <w:szCs w:val="28"/>
          <w:lang w:val="en-US" w:eastAsia="zh-CN"/>
        </w:rPr>
        <w:t>鑫昌建设</w:t>
      </w:r>
      <w:r>
        <w:rPr>
          <w:rFonts w:hint="eastAsia" w:ascii="黑体" w:hAnsi="黑体" w:eastAsia="黑体" w:cs="黑体"/>
          <w:sz w:val="28"/>
          <w:szCs w:val="28"/>
          <w:lang w:eastAsia="zh-CN"/>
        </w:rPr>
        <w:t>工程有限公司</w:t>
      </w:r>
      <w:r>
        <w:rPr>
          <w:rFonts w:hint="eastAsia" w:ascii="黑体" w:hAnsi="黑体" w:eastAsia="黑体" w:cs="黑体"/>
          <w:sz w:val="28"/>
          <w:szCs w:val="28"/>
          <w:lang w:val="en-US" w:eastAsia="zh-CN"/>
        </w:rPr>
        <w:t>在会昌县“一站式”矛盾纠纷多元化解中心项目需招广告制作及安装类相关班组，</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联系电话：15870710725。</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报价截止时间为2024年3月 28 日17时。</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广告制作及安装</w:t>
      </w:r>
      <w:r>
        <w:rPr>
          <w:rFonts w:hint="eastAsia" w:ascii="黑体" w:hAnsi="黑体" w:eastAsia="黑体" w:cs="黑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要求</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1</w:t>
      </w:r>
      <w:r>
        <w:rPr>
          <w:rFonts w:hint="eastAsia" w:ascii="黑体" w:hAnsi="黑体" w:eastAsia="黑体" w:cs="黑体"/>
          <w:bCs/>
          <w:sz w:val="28"/>
          <w:szCs w:val="28"/>
          <w:lang w:eastAsia="zh-CN"/>
        </w:rPr>
        <w:t>、供应商所提供材料必须符合国家质量标准，并经招标人许可后方可使用。</w:t>
      </w:r>
    </w:p>
    <w:p>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2</w:t>
      </w:r>
      <w:r>
        <w:rPr>
          <w:rFonts w:hint="eastAsia" w:ascii="黑体" w:hAnsi="黑体" w:eastAsia="黑体" w:cs="黑体"/>
          <w:bCs/>
          <w:sz w:val="28"/>
          <w:szCs w:val="28"/>
          <w:lang w:eastAsia="zh-CN"/>
        </w:rPr>
        <w:t>、在保修期内出现质量问题由中标单位进行更换。</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bCs/>
          <w:kern w:val="2"/>
          <w:sz w:val="28"/>
          <w:szCs w:val="28"/>
          <w:lang w:val="en-US" w:eastAsia="zh-CN" w:bidi="ar-SA"/>
        </w:rPr>
        <w:t>3、响应单位必须以公司或个体户参与报价，不得以个人响应，本工程需报价公司经营范围符合施工内容。报价文件需密封加盖公章。</w:t>
      </w:r>
    </w:p>
    <w:p>
      <w:pPr>
        <w:spacing w:line="480" w:lineRule="exact"/>
        <w:ind w:firstLine="560" w:firstLineChars="200"/>
        <w:rPr>
          <w:rFonts w:hint="eastAsia" w:ascii="黑体" w:hAnsi="黑体" w:eastAsia="黑体" w:cs="黑体"/>
          <w:bCs/>
          <w:sz w:val="28"/>
          <w:szCs w:val="28"/>
          <w:lang w:eastAsia="zh-CN"/>
        </w:rPr>
      </w:pP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bookmarkStart w:id="0" w:name="_GoBack"/>
      <w:bookmarkEnd w:id="0"/>
    </w:p>
    <w:p>
      <w:pPr>
        <w:pStyle w:val="2"/>
        <w:rPr>
          <w:rFonts w:hint="eastAsia" w:ascii="黑体" w:hAnsi="黑体" w:eastAsia="黑体" w:cs="黑体"/>
          <w:bCs/>
          <w:sz w:val="28"/>
          <w:szCs w:val="28"/>
        </w:rPr>
      </w:pPr>
    </w:p>
    <w:p>
      <w:pPr>
        <w:pStyle w:val="2"/>
        <w:rPr>
          <w:rFonts w:hint="eastAsia" w:ascii="黑体" w:hAnsi="黑体" w:eastAsia="黑体" w:cs="黑体"/>
          <w:bCs/>
          <w:sz w:val="28"/>
          <w:szCs w:val="28"/>
        </w:rPr>
      </w:pPr>
    </w:p>
    <w:p>
      <w:pPr>
        <w:pStyle w:val="2"/>
        <w:rPr>
          <w:rFonts w:hint="eastAsia" w:ascii="黑体" w:hAnsi="黑体" w:eastAsia="黑体" w:cs="黑体"/>
          <w:bCs/>
          <w:sz w:val="28"/>
          <w:szCs w:val="28"/>
        </w:rPr>
      </w:pPr>
    </w:p>
    <w:p>
      <w:pPr>
        <w:pStyle w:val="2"/>
        <w:rPr>
          <w:rFonts w:hint="eastAsia" w:ascii="黑体" w:hAnsi="黑体" w:eastAsia="黑体" w:cs="黑体"/>
          <w:bCs/>
          <w:sz w:val="28"/>
          <w:szCs w:val="28"/>
        </w:rPr>
      </w:pPr>
    </w:p>
    <w:p>
      <w:pPr>
        <w:rPr>
          <w:rFonts w:hint="eastAsia" w:ascii="黑体" w:hAnsi="黑体" w:eastAsia="黑体" w:cs="黑体"/>
          <w:b w:val="0"/>
          <w:bCs/>
          <w:sz w:val="36"/>
          <w:szCs w:val="36"/>
          <w:lang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W w:w="98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519"/>
        <w:gridCol w:w="1748"/>
        <w:gridCol w:w="2257"/>
        <w:gridCol w:w="1710"/>
        <w:gridCol w:w="895"/>
        <w:gridCol w:w="833"/>
        <w:gridCol w:w="919"/>
        <w:gridCol w:w="10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7"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序号</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b/>
                <w:bCs/>
                <w:i w:val="0"/>
                <w:iCs w:val="0"/>
                <w:color w:val="000000"/>
                <w:kern w:val="0"/>
                <w:sz w:val="20"/>
                <w:szCs w:val="20"/>
                <w:u w:val="none"/>
                <w:bdr w:val="none" w:color="auto" w:sz="0" w:space="0"/>
                <w:lang w:val="en-US" w:eastAsia="zh-CN" w:bidi="ar"/>
              </w:rPr>
              <w:t>项目名称</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b/>
                <w:bCs/>
                <w:i w:val="0"/>
                <w:iCs w:val="0"/>
                <w:color w:val="000000"/>
                <w:kern w:val="0"/>
                <w:sz w:val="20"/>
                <w:szCs w:val="20"/>
                <w:u w:val="none"/>
                <w:bdr w:val="none" w:color="auto" w:sz="0" w:space="0"/>
                <w:lang w:val="en-US" w:eastAsia="zh-CN" w:bidi="ar"/>
              </w:rPr>
              <w:t>材料</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b/>
                <w:bCs/>
                <w:i w:val="0"/>
                <w:iCs w:val="0"/>
                <w:color w:val="000000"/>
                <w:kern w:val="0"/>
                <w:sz w:val="20"/>
                <w:szCs w:val="20"/>
                <w:u w:val="none"/>
                <w:bdr w:val="none" w:color="auto" w:sz="0" w:space="0"/>
                <w:lang w:val="en-US" w:eastAsia="zh-CN" w:bidi="ar"/>
              </w:rPr>
              <w:t>内容</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b/>
                <w:bCs/>
                <w:i w:val="0"/>
                <w:iCs w:val="0"/>
                <w:color w:val="000000"/>
                <w:kern w:val="0"/>
                <w:sz w:val="20"/>
                <w:szCs w:val="20"/>
                <w:u w:val="none"/>
                <w:bdr w:val="none" w:color="auto" w:sz="0" w:space="0"/>
                <w:lang w:val="en-US" w:eastAsia="zh-CN" w:bidi="ar"/>
              </w:rPr>
              <w:t>数量</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b/>
                <w:bCs/>
                <w:i w:val="0"/>
                <w:iCs w:val="0"/>
                <w:color w:val="000000"/>
                <w:kern w:val="0"/>
                <w:sz w:val="20"/>
                <w:szCs w:val="20"/>
                <w:u w:val="none"/>
                <w:bdr w:val="none" w:color="auto" w:sz="0" w:space="0"/>
                <w:lang w:val="en-US" w:eastAsia="zh-CN" w:bidi="ar"/>
              </w:rPr>
              <w:t>单位</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b/>
                <w:bCs/>
                <w:i w:val="0"/>
                <w:iCs w:val="0"/>
                <w:color w:val="000000"/>
                <w:kern w:val="0"/>
                <w:sz w:val="20"/>
                <w:szCs w:val="20"/>
                <w:u w:val="none"/>
                <w:bdr w:val="none" w:color="auto" w:sz="0" w:space="0"/>
                <w:lang w:val="en-US" w:eastAsia="zh-CN" w:bidi="ar"/>
              </w:rPr>
              <w:t>单价</w:t>
            </w: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b/>
                <w:bCs/>
                <w:i w:val="0"/>
                <w:iCs w:val="0"/>
                <w:color w:val="000000"/>
                <w:kern w:val="0"/>
                <w:sz w:val="20"/>
                <w:szCs w:val="20"/>
                <w:u w:val="none"/>
                <w:bdr w:val="none" w:color="auto" w:sz="0" w:space="0"/>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bdr w:val="none" w:color="auto" w:sz="0" w:space="0"/>
                <w:lang w:val="en-US" w:eastAsia="zh-CN" w:bidi="ar"/>
              </w:rPr>
              <w:t>会昌县矛盾纠纷多元化解中心-门牌</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bdr w:val="none" w:color="auto" w:sz="0" w:space="0"/>
                <w:lang w:val="en-US" w:eastAsia="zh-CN" w:bidi="ar"/>
              </w:rPr>
              <w:t>钢架+铝塑板+不锈钢烤漆字+铸铝徽章</w:t>
            </w:r>
            <w:r>
              <w:rPr>
                <w:rFonts w:hint="default" w:ascii="Arial" w:hAnsi="Arial" w:eastAsia="宋体" w:cs="Arial"/>
                <w:i w:val="0"/>
                <w:iCs w:val="0"/>
                <w:color w:val="000000"/>
                <w:kern w:val="0"/>
                <w:sz w:val="18"/>
                <w:szCs w:val="18"/>
                <w:u w:val="none"/>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揭牌红布</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bdr w:val="none" w:color="auto" w:sz="0" w:space="0"/>
                <w:lang w:val="en-US" w:eastAsia="zh-CN" w:bidi="ar"/>
              </w:rPr>
              <w:t>会昌县矛盾纠纷多元化解中心</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套</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2</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不锈钢腐蚀牌</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一字成型不锈钢腐蚀</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会昌县人民来访接待中心等</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块</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3</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防撞贴</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UV彩白彩</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会昌县矛盾纠纷多元化解中心</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条</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4</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消防栓水晶标</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水晶标</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消防栓</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张</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5</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导引台</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PVC-UV</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导引台</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0.11</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平方米</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6</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简介文化墙</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PVC-UV-过光油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会昌县矛盾纠纷化解中心简介</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3.456</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平方米</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7</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大厅背景水晶字</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10水晶字</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让老百姓遇到问题能有地方“找个说法 ”</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858</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cm</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8</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bdr w:val="none" w:color="auto" w:sz="0" w:space="0"/>
                <w:lang w:val="en-US" w:eastAsia="zh-CN" w:bidi="ar"/>
              </w:rPr>
              <w:t>大厅前台T形桌牌</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亚克力桌牌</w:t>
            </w:r>
          </w:p>
        </w:tc>
        <w:tc>
          <w:tcPr>
            <w:tcW w:w="1710"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10</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个</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9</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大厅-会昌公共法律服务中心</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10水晶字</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会昌法律服务中心</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套</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10</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大厅-中国司法徽章</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铸铝</w:t>
            </w:r>
          </w:p>
        </w:tc>
        <w:tc>
          <w:tcPr>
            <w:tcW w:w="1710"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块</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11</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可更换门牌</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不锈钢UV+亚克力UV</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人民调解室等</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24</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块</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12</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厕所门牌</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PVC-UV</w:t>
            </w:r>
          </w:p>
        </w:tc>
        <w:tc>
          <w:tcPr>
            <w:tcW w:w="1710"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3</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块</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13</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速裁庭国徽</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铸铝</w:t>
            </w:r>
          </w:p>
        </w:tc>
        <w:tc>
          <w:tcPr>
            <w:tcW w:w="1710"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块</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14</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信访视频接访室背景墙</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钢架+铝塑板+水晶字</w:t>
            </w:r>
          </w:p>
        </w:tc>
        <w:tc>
          <w:tcPr>
            <w:tcW w:w="1710"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套</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15</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信访局文化墙</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PVC-UV-过光油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学习贯彻新时代中国特色社会主义思想</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4.24</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平方米</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16</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信访局党务公开栏</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PVC-UV-过光油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中共会昌县委信访局支部委员会党务公开栏</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5.2</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平方米</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17</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信访局公开栏-宣传栏</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PVC-磁性贴</w:t>
            </w:r>
          </w:p>
        </w:tc>
        <w:tc>
          <w:tcPr>
            <w:tcW w:w="1710"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2.16</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平方米</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18</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调解室文化墙</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PVC-UV</w:t>
            </w:r>
          </w:p>
        </w:tc>
        <w:tc>
          <w:tcPr>
            <w:tcW w:w="1710"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6.16</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平方米</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19</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调解室三角桌牌</w:t>
            </w:r>
          </w:p>
        </w:tc>
        <w:tc>
          <w:tcPr>
            <w:tcW w:w="2257"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6</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个</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20</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二楼会议室背景墙水晶字</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15水晶字</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会昌县综治中心</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283</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cm</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21</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二楼会议室背景墙徽章</w:t>
            </w:r>
          </w:p>
        </w:tc>
        <w:tc>
          <w:tcPr>
            <w:tcW w:w="2257"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铸铝</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个</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22</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会昌县矛盾纠纷多元化解</w:t>
            </w:r>
            <w:r>
              <w:rPr>
                <w:rFonts w:ascii="宋体" w:hAnsi="宋体" w:eastAsia="宋体" w:cs="宋体"/>
                <w:i w:val="0"/>
                <w:iCs w:val="0"/>
                <w:color w:val="000000"/>
                <w:kern w:val="0"/>
                <w:sz w:val="18"/>
                <w:szCs w:val="18"/>
                <w:u w:val="none"/>
                <w:bdr w:val="none" w:color="auto" w:sz="0" w:space="0"/>
                <w:lang w:val="en-US" w:eastAsia="zh-CN" w:bidi="ar"/>
              </w:rPr>
              <w:br w:type="textWrapping"/>
            </w:r>
            <w:r>
              <w:rPr>
                <w:rFonts w:ascii="宋体" w:hAnsi="宋体" w:eastAsia="宋体" w:cs="宋体"/>
                <w:i w:val="0"/>
                <w:iCs w:val="0"/>
                <w:color w:val="000000"/>
                <w:kern w:val="0"/>
                <w:sz w:val="18"/>
                <w:szCs w:val="18"/>
                <w:u w:val="none"/>
                <w:bdr w:val="none" w:color="auto" w:sz="0" w:space="0"/>
                <w:lang w:val="en-US" w:eastAsia="zh-CN" w:bidi="ar"/>
              </w:rPr>
              <w:t>中心专家库</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bdr w:val="none" w:color="auto" w:sz="0" w:space="0"/>
                <w:lang w:val="en-US" w:eastAsia="zh-CN" w:bidi="ar"/>
              </w:rPr>
              <w:t>PVC-UV-过光油+双面亚克力盒子50个+信息卡</w:t>
            </w:r>
          </w:p>
        </w:tc>
        <w:tc>
          <w:tcPr>
            <w:tcW w:w="1710"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套</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23</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信访局岗位牌</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bdr w:val="none" w:color="auto" w:sz="0" w:space="0"/>
                <w:lang w:val="en-US" w:eastAsia="zh-CN" w:bidi="ar"/>
              </w:rPr>
              <w:t>PVC-UV-过光油+双面亚克力盒子12个+信息卡</w:t>
            </w:r>
          </w:p>
        </w:tc>
        <w:tc>
          <w:tcPr>
            <w:tcW w:w="1710"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套</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24</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法律咨询室-中国司法制度牌</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PVC-UV-过光油</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法律咨询服务流程等</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2.4</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平方米</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25</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二楼会议室网格图</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亚克力夹画</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会昌县综治网格化区域示意图</w:t>
            </w: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块</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26</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二楼办公室制度牌</w:t>
            </w:r>
          </w:p>
        </w:tc>
        <w:tc>
          <w:tcPr>
            <w:tcW w:w="22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20"/>
                <w:szCs w:val="20"/>
                <w:u w:val="none"/>
                <w:bdr w:val="none" w:color="auto" w:sz="0" w:space="0"/>
                <w:lang w:val="en-US" w:eastAsia="zh-CN" w:bidi="ar"/>
              </w:rPr>
              <w:t>PVC-UV-过光油</w:t>
            </w:r>
          </w:p>
        </w:tc>
        <w:tc>
          <w:tcPr>
            <w:tcW w:w="1710"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4.8</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平方米</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1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27</w:t>
            </w:r>
          </w:p>
        </w:tc>
        <w:tc>
          <w:tcPr>
            <w:tcW w:w="174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工作证</w:t>
            </w:r>
          </w:p>
        </w:tc>
        <w:tc>
          <w:tcPr>
            <w:tcW w:w="2257"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vAlign w:val="top"/>
          </w:tcPr>
          <w:p>
            <w:pPr>
              <w:jc w:val="left"/>
              <w:rPr>
                <w:rFonts w:hint="default" w:ascii="Arial" w:hAnsi="Arial" w:cs="Arial"/>
                <w:i w:val="0"/>
                <w:iCs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bdr w:val="none" w:color="auto" w:sz="0" w:space="0"/>
                <w:lang w:val="en-US" w:eastAsia="zh-CN" w:bidi="ar"/>
              </w:rPr>
              <w:t>30</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ascii="宋体" w:hAnsi="宋体" w:eastAsia="宋体" w:cs="宋体"/>
                <w:i w:val="0"/>
                <w:iCs w:val="0"/>
                <w:color w:val="000000"/>
                <w:kern w:val="0"/>
                <w:sz w:val="18"/>
                <w:szCs w:val="18"/>
                <w:u w:val="none"/>
                <w:bdr w:val="none" w:color="auto" w:sz="0" w:space="0"/>
                <w:lang w:val="en-US" w:eastAsia="zh-CN" w:bidi="ar"/>
              </w:rPr>
              <w:t>个</w:t>
            </w:r>
          </w:p>
        </w:tc>
        <w:tc>
          <w:tcPr>
            <w:tcW w:w="91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85" w:type="dxa"/>
            <w:gridSpan w:val="8"/>
            <w:tcBorders>
              <w:top w:val="single" w:color="000000" w:sz="4" w:space="0"/>
              <w:left w:val="single" w:color="000000" w:sz="4" w:space="0"/>
              <w:bottom w:val="single" w:color="000000" w:sz="4" w:space="0"/>
              <w:right w:val="single" w:color="000000" w:sz="4" w:space="0"/>
            </w:tcBorders>
            <w:shd w:val="clear"/>
            <w:vAlign w:val="center"/>
          </w:tcPr>
          <w:p>
            <w:pPr>
              <w:jc w:val="center"/>
              <w:rPr>
                <w:rFonts w:hint="default" w:ascii="Arial" w:hAnsi="Arial" w:cs="Arial"/>
                <w:i w:val="0"/>
                <w:iCs w:val="0"/>
                <w:color w:val="000000"/>
                <w:sz w:val="18"/>
                <w:szCs w:val="18"/>
                <w:u w:val="none"/>
              </w:rPr>
            </w:pPr>
            <w:r>
              <w:rPr>
                <w:rFonts w:hint="eastAsia" w:ascii="楷体" w:hAnsi="楷体" w:eastAsia="楷体" w:cs="楷体"/>
                <w:sz w:val="24"/>
                <w:szCs w:val="24"/>
                <w:vertAlign w:val="baseline"/>
                <w:lang w:val="en-US" w:eastAsia="zh-CN"/>
              </w:rPr>
              <w:t>总计：</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u w:val="none"/>
                <w:vertAlign w:val="baseline"/>
                <w:lang w:val="en-US" w:eastAsia="zh-CN"/>
              </w:rPr>
              <w:t xml:space="preserve">元  </w:t>
            </w:r>
            <w:r>
              <w:rPr>
                <w:rFonts w:hint="eastAsia" w:ascii="楷体" w:hAnsi="楷体" w:eastAsia="楷体" w:cs="楷体"/>
                <w:sz w:val="24"/>
                <w:szCs w:val="24"/>
                <w:vertAlign w:val="baseline"/>
                <w:lang w:val="en-US" w:eastAsia="zh-CN"/>
              </w:rPr>
              <w:t>含</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vertAlign w:val="baseline"/>
                <w:lang w:val="en-US" w:eastAsia="zh-CN"/>
              </w:rPr>
              <w:t>%增值税专票</w:t>
            </w:r>
          </w:p>
        </w:tc>
      </w:tr>
    </w:tbl>
    <w:p>
      <w:pPr>
        <w:pStyle w:val="2"/>
        <w:ind w:left="0" w:leftChars="0" w:firstLine="0" w:firstLineChars="0"/>
        <w:jc w:val="center"/>
        <w:rPr>
          <w:rFonts w:hint="eastAsia" w:ascii="黑体" w:hAnsi="黑体" w:eastAsia="黑体" w:cs="黑体"/>
          <w:b w:val="0"/>
          <w:bCs/>
          <w:sz w:val="36"/>
          <w:szCs w:val="36"/>
          <w:lang w:val="en-US" w:eastAsia="zh-CN"/>
        </w:rPr>
      </w:pPr>
    </w:p>
    <w:p>
      <w:pPr>
        <w:pStyle w:val="2"/>
        <w:ind w:left="0" w:leftChars="0" w:firstLine="0" w:firstLineChars="0"/>
        <w:jc w:val="center"/>
        <w:rPr>
          <w:rFonts w:hint="eastAsia" w:eastAsia="黑体"/>
          <w:b w:val="0"/>
          <w:bCs/>
          <w:lang w:val="en-US" w:eastAsia="zh-CN"/>
        </w:rPr>
      </w:pPr>
    </w:p>
    <w:p>
      <w:pPr>
        <w:spacing w:line="480" w:lineRule="exact"/>
        <w:rPr>
          <w:rFonts w:hint="eastAsia" w:ascii="黑体" w:hAnsi="黑体" w:eastAsia="黑体" w:cs="黑体"/>
          <w:b/>
          <w:bCs w:val="0"/>
          <w:sz w:val="24"/>
          <w:szCs w:val="24"/>
          <w:lang w:val="en-US" w:eastAsia="zh-CN"/>
        </w:rPr>
      </w:pPr>
    </w:p>
    <w:p>
      <w:pPr>
        <w:pStyle w:val="2"/>
        <w:rPr>
          <w:rFonts w:hint="eastAsia"/>
          <w:lang w:val="en-US" w:eastAsia="zh-CN"/>
        </w:rPr>
      </w:pPr>
    </w:p>
    <w:p>
      <w:pPr>
        <w:spacing w:line="480" w:lineRule="exact"/>
        <w:ind w:firstLine="3640" w:firstLineChars="130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left="0" w:leftChars="0" w:firstLine="0" w:firstLineChars="0"/>
        <w:rPr>
          <w:rFonts w:hint="default" w:eastAsia="宋体"/>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080" w:bottom="1440" w:left="108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4A0016C8"/>
    <w:rsid w:val="04994648"/>
    <w:rsid w:val="180379F0"/>
    <w:rsid w:val="19DC169D"/>
    <w:rsid w:val="19FA2A88"/>
    <w:rsid w:val="1E5233C1"/>
    <w:rsid w:val="20A261C9"/>
    <w:rsid w:val="210670D2"/>
    <w:rsid w:val="27D6204F"/>
    <w:rsid w:val="38A74EFC"/>
    <w:rsid w:val="3C2419AF"/>
    <w:rsid w:val="4545357E"/>
    <w:rsid w:val="46F13959"/>
    <w:rsid w:val="47EC6391"/>
    <w:rsid w:val="484216E1"/>
    <w:rsid w:val="48DF33D4"/>
    <w:rsid w:val="4A0016C8"/>
    <w:rsid w:val="4A726101"/>
    <w:rsid w:val="4BAA13AB"/>
    <w:rsid w:val="56FE1DA2"/>
    <w:rsid w:val="596127C4"/>
    <w:rsid w:val="65EE3D35"/>
    <w:rsid w:val="6C60072F"/>
    <w:rsid w:val="702777E7"/>
    <w:rsid w:val="7066494D"/>
    <w:rsid w:val="717E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autoRedefine/>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21"/>
    <w:basedOn w:val="8"/>
    <w:uiPriority w:val="0"/>
    <w:rPr>
      <w:rFonts w:ascii="宋体" w:hAnsi="宋体" w:eastAsia="宋体" w:cs="宋体"/>
      <w:color w:val="000000"/>
      <w:sz w:val="18"/>
      <w:szCs w:val="18"/>
      <w:u w:val="none"/>
    </w:rPr>
  </w:style>
  <w:style w:type="character" w:customStyle="1" w:styleId="10">
    <w:name w:val="font31"/>
    <w:basedOn w:val="8"/>
    <w:uiPriority w:val="0"/>
    <w:rPr>
      <w:rFonts w:ascii="宋体" w:hAnsi="宋体" w:eastAsia="宋体" w:cs="宋体"/>
      <w:color w:val="000000"/>
      <w:sz w:val="18"/>
      <w:szCs w:val="18"/>
      <w:u w:val="none"/>
    </w:rPr>
  </w:style>
  <w:style w:type="character" w:customStyle="1" w:styleId="11">
    <w:name w:val="font51"/>
    <w:basedOn w:val="8"/>
    <w:uiPriority w:val="0"/>
    <w:rPr>
      <w:rFonts w:ascii="宋体" w:hAnsi="宋体" w:eastAsia="宋体" w:cs="宋体"/>
      <w:color w:val="000000"/>
      <w:sz w:val="18"/>
      <w:szCs w:val="18"/>
      <w:u w:val="none"/>
    </w:rPr>
  </w:style>
  <w:style w:type="character" w:customStyle="1" w:styleId="12">
    <w:name w:val="font61"/>
    <w:basedOn w:val="8"/>
    <w:uiPriority w:val="0"/>
    <w:rPr>
      <w:rFonts w:ascii="宋体" w:hAnsi="宋体" w:eastAsia="宋体" w:cs="宋体"/>
      <w:b/>
      <w:bCs/>
      <w:color w:val="000000"/>
      <w:sz w:val="20"/>
      <w:szCs w:val="20"/>
      <w:u w:val="none"/>
    </w:rPr>
  </w:style>
  <w:style w:type="character" w:customStyle="1" w:styleId="13">
    <w:name w:val="font71"/>
    <w:basedOn w:val="8"/>
    <w:uiPriority w:val="0"/>
    <w:rPr>
      <w:rFonts w:hint="default" w:ascii="Arial" w:hAnsi="Arial" w:cs="Arial"/>
      <w:color w:val="000000"/>
      <w:sz w:val="18"/>
      <w:szCs w:val="18"/>
      <w:u w:val="none"/>
    </w:rPr>
  </w:style>
  <w:style w:type="character" w:customStyle="1" w:styleId="14">
    <w:name w:val="font81"/>
    <w:basedOn w:val="8"/>
    <w:uiPriority w:val="0"/>
    <w:rPr>
      <w:rFonts w:hint="eastAsia" w:ascii="宋体" w:hAnsi="宋体" w:eastAsia="宋体" w:cs="宋体"/>
      <w:color w:val="000000"/>
      <w:sz w:val="18"/>
      <w:szCs w:val="18"/>
      <w:u w:val="none"/>
    </w:rPr>
  </w:style>
  <w:style w:type="character" w:customStyle="1" w:styleId="15">
    <w:name w:val="font91"/>
    <w:basedOn w:val="8"/>
    <w:uiPriority w:val="0"/>
    <w:rPr>
      <w:rFonts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6</TotalTime>
  <ScaleCrop>false</ScaleCrop>
  <LinksUpToDate>false</LinksUpToDate>
  <CharactersWithSpaces>1543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2024-03-25T13:40:36Z</cp:lastPrinted>
  <dcterms:modified xsi:type="dcterms:W3CDTF">2024-03-25T13:44:47Z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C6F708FE3BA240AAA08D503441241776_13</vt:lpwstr>
  </property>
</Properties>
</file>