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w:t>
      </w:r>
      <w:bookmarkStart w:id="0" w:name="_GoBack"/>
      <w:r>
        <w:rPr>
          <w:rFonts w:hint="eastAsia" w:ascii="黑体" w:hAnsi="黑体" w:eastAsia="黑体" w:cs="黑体"/>
          <w:sz w:val="28"/>
          <w:szCs w:val="28"/>
          <w:lang w:val="en-US" w:eastAsia="zh-CN"/>
        </w:rPr>
        <w:t>会昌县城区市政道路管网</w:t>
      </w:r>
      <w:bookmarkEnd w:id="0"/>
      <w:r>
        <w:rPr>
          <w:rFonts w:hint="eastAsia" w:ascii="黑体" w:hAnsi="黑体" w:eastAsia="黑体" w:cs="黑体"/>
          <w:sz w:val="28"/>
          <w:szCs w:val="28"/>
          <w:lang w:val="en-US" w:eastAsia="zh-CN"/>
        </w:rPr>
        <w:t>需招非开挖式管道修复施工班组，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各大</w:t>
      </w:r>
      <w:r>
        <w:rPr>
          <w:rFonts w:hint="eastAsia" w:ascii="黑体" w:hAnsi="黑体" w:eastAsia="黑体" w:cs="黑体"/>
          <w:sz w:val="28"/>
          <w:szCs w:val="28"/>
          <w:lang w:val="en-US" w:eastAsia="zh-CN"/>
        </w:rPr>
        <w:t>建筑公司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联系人：胡先生   联系电话：15970996995</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报价截止时间为2024年2月25日17时。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numPr>
          <w:numId w:val="0"/>
        </w:numPr>
        <w:spacing w:line="480" w:lineRule="exac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管道破裂、腐蚀、脱节修复；管道变形、障碍物置换修复（含材料、管道清洗、封堵、清淤、抽水等机械台班）。</w:t>
      </w:r>
    </w:p>
    <w:p>
      <w:pPr>
        <w:pStyle w:val="10"/>
        <w:ind w:left="0" w:leftChars="0" w:firstLine="0" w:firstLine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二、工程款支付</w:t>
      </w:r>
    </w:p>
    <w:p>
      <w:pPr>
        <w:pStyle w:val="1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工程完工后 6 个月内按现场实际经甲方验收合格工程量 70%支付进度款，6 个月后无质量问题付至 97%进度款，剩余 3%作为质量保修金。质保期(质保期一年，质保期从专项工程完工之日起计算) 满后无息支付。</w:t>
      </w:r>
    </w:p>
    <w:p>
      <w:pPr>
        <w:spacing w:line="480" w:lineRule="exact"/>
        <w:ind w:firstLine="560"/>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12"/>
        <w:tblW w:w="465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7"/>
        <w:gridCol w:w="930"/>
        <w:gridCol w:w="930"/>
        <w:gridCol w:w="930"/>
        <w:gridCol w:w="997"/>
        <w:gridCol w:w="1056"/>
        <w:gridCol w:w="1057"/>
        <w:gridCol w:w="1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586"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管道缺陷名称</w:t>
            </w:r>
          </w:p>
        </w:tc>
        <w:tc>
          <w:tcPr>
            <w:tcW w:w="586"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单位</w:t>
            </w:r>
          </w:p>
        </w:tc>
        <w:tc>
          <w:tcPr>
            <w:tcW w:w="586" w:type="pct"/>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管径</w:t>
            </w:r>
          </w:p>
        </w:tc>
        <w:tc>
          <w:tcPr>
            <w:tcW w:w="628"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数量</w:t>
            </w:r>
          </w:p>
        </w:tc>
        <w:tc>
          <w:tcPr>
            <w:tcW w:w="665"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666" w:type="pct"/>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639"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641" w:type="pct"/>
            <w:vMerge w:val="restar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sz w:val="21"/>
                <w:szCs w:val="21"/>
                <w:lang w:val="en-US" w:eastAsia="zh-CN"/>
              </w:rPr>
              <w:t>非开挖式管道修复</w:t>
            </w:r>
          </w:p>
        </w:tc>
        <w:tc>
          <w:tcPr>
            <w:tcW w:w="586" w:type="pct"/>
            <w:vMerge w:val="restar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管道破裂、腐蚀、脱节</w:t>
            </w:r>
          </w:p>
        </w:tc>
        <w:tc>
          <w:tcPr>
            <w:tcW w:w="586" w:type="pct"/>
            <w:vMerge w:val="restar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环</w:t>
            </w:r>
          </w:p>
        </w:tc>
        <w:tc>
          <w:tcPr>
            <w:tcW w:w="586"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300</w:t>
            </w:r>
          </w:p>
        </w:tc>
        <w:tc>
          <w:tcPr>
            <w:tcW w:w="628"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w:t>
            </w:r>
          </w:p>
        </w:tc>
        <w:tc>
          <w:tcPr>
            <w:tcW w:w="665" w:type="pct"/>
            <w:noWrap w:val="0"/>
            <w:vAlign w:val="center"/>
          </w:tcPr>
          <w:p>
            <w:pPr>
              <w:spacing w:line="480" w:lineRule="exact"/>
              <w:jc w:val="center"/>
              <w:rPr>
                <w:rFonts w:hint="eastAsia" w:ascii="黑体" w:hAnsi="黑体" w:eastAsia="黑体" w:cs="黑体"/>
                <w:bCs/>
                <w:sz w:val="21"/>
                <w:szCs w:val="21"/>
                <w:lang w:val="en-US" w:eastAsia="zh-CN"/>
              </w:rPr>
            </w:pPr>
          </w:p>
        </w:tc>
        <w:tc>
          <w:tcPr>
            <w:tcW w:w="666" w:type="pct"/>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639" w:type="pct"/>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pct"/>
            <w:vMerge w:val="continue"/>
            <w:tcBorders/>
            <w:noWrap w:val="0"/>
            <w:vAlign w:val="center"/>
          </w:tcPr>
          <w:p>
            <w:pPr>
              <w:spacing w:line="480" w:lineRule="exact"/>
              <w:jc w:val="center"/>
              <w:rPr>
                <w:rFonts w:hint="eastAsia" w:ascii="黑体" w:hAnsi="黑体" w:eastAsia="黑体" w:cs="黑体"/>
                <w:sz w:val="21"/>
                <w:szCs w:val="21"/>
                <w:lang w:val="en-US" w:eastAsia="zh-CN"/>
              </w:rPr>
            </w:pPr>
          </w:p>
        </w:tc>
        <w:tc>
          <w:tcPr>
            <w:tcW w:w="586" w:type="pct"/>
            <w:vMerge w:val="continue"/>
            <w:tcBorders/>
            <w:noWrap w:val="0"/>
            <w:vAlign w:val="center"/>
          </w:tcPr>
          <w:p>
            <w:pPr>
              <w:spacing w:line="480" w:lineRule="exact"/>
              <w:jc w:val="center"/>
              <w:rPr>
                <w:rFonts w:hint="eastAsia" w:ascii="黑体" w:hAnsi="黑体" w:eastAsia="黑体" w:cs="黑体"/>
                <w:bCs/>
                <w:sz w:val="21"/>
                <w:szCs w:val="21"/>
                <w:lang w:val="en-US" w:eastAsia="zh-CN"/>
              </w:rPr>
            </w:pPr>
          </w:p>
        </w:tc>
        <w:tc>
          <w:tcPr>
            <w:tcW w:w="586" w:type="pct"/>
            <w:vMerge w:val="continue"/>
            <w:tcBorders/>
            <w:noWrap w:val="0"/>
            <w:vAlign w:val="center"/>
          </w:tcPr>
          <w:p>
            <w:pPr>
              <w:spacing w:line="480" w:lineRule="exact"/>
              <w:jc w:val="center"/>
              <w:rPr>
                <w:rFonts w:hint="eastAsia" w:ascii="黑体" w:hAnsi="黑体" w:eastAsia="黑体" w:cs="黑体"/>
                <w:bCs/>
                <w:sz w:val="21"/>
                <w:szCs w:val="21"/>
                <w:lang w:val="en-US" w:eastAsia="zh-CN"/>
              </w:rPr>
            </w:pPr>
          </w:p>
        </w:tc>
        <w:tc>
          <w:tcPr>
            <w:tcW w:w="586"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400</w:t>
            </w:r>
          </w:p>
        </w:tc>
        <w:tc>
          <w:tcPr>
            <w:tcW w:w="628"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w:t>
            </w:r>
          </w:p>
        </w:tc>
        <w:tc>
          <w:tcPr>
            <w:tcW w:w="665" w:type="pct"/>
            <w:noWrap w:val="0"/>
            <w:vAlign w:val="center"/>
          </w:tcPr>
          <w:p>
            <w:pPr>
              <w:spacing w:line="480" w:lineRule="exact"/>
              <w:jc w:val="center"/>
              <w:rPr>
                <w:rFonts w:hint="eastAsia" w:ascii="黑体" w:hAnsi="黑体" w:eastAsia="黑体" w:cs="黑体"/>
                <w:bCs/>
                <w:sz w:val="21"/>
                <w:szCs w:val="21"/>
                <w:lang w:val="en-US" w:eastAsia="zh-CN"/>
              </w:rPr>
            </w:pPr>
          </w:p>
        </w:tc>
        <w:tc>
          <w:tcPr>
            <w:tcW w:w="666" w:type="pct"/>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639" w:type="pct"/>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641" w:type="pct"/>
            <w:vMerge w:val="continue"/>
            <w:tcBorders/>
            <w:noWrap w:val="0"/>
            <w:vAlign w:val="center"/>
          </w:tcPr>
          <w:p>
            <w:pPr>
              <w:spacing w:line="480" w:lineRule="exact"/>
              <w:jc w:val="center"/>
              <w:rPr>
                <w:rFonts w:hint="eastAsia" w:ascii="黑体" w:hAnsi="黑体" w:eastAsia="黑体" w:cs="黑体"/>
                <w:sz w:val="21"/>
                <w:szCs w:val="21"/>
                <w:lang w:val="en-US" w:eastAsia="zh-CN"/>
              </w:rPr>
            </w:pPr>
          </w:p>
        </w:tc>
        <w:tc>
          <w:tcPr>
            <w:tcW w:w="586" w:type="pct"/>
            <w:vMerge w:val="restart"/>
            <w:tcBorders/>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管道变形、障碍物</w:t>
            </w:r>
          </w:p>
        </w:tc>
        <w:tc>
          <w:tcPr>
            <w:tcW w:w="586" w:type="pct"/>
            <w:vMerge w:val="restart"/>
            <w:tcBorders/>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环</w:t>
            </w:r>
          </w:p>
        </w:tc>
        <w:tc>
          <w:tcPr>
            <w:tcW w:w="586" w:type="pct"/>
            <w:vMerge w:val="restar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300</w:t>
            </w:r>
          </w:p>
        </w:tc>
        <w:tc>
          <w:tcPr>
            <w:tcW w:w="628"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w:t>
            </w:r>
          </w:p>
        </w:tc>
        <w:tc>
          <w:tcPr>
            <w:tcW w:w="665" w:type="pct"/>
            <w:noWrap w:val="0"/>
            <w:vAlign w:val="center"/>
          </w:tcPr>
          <w:p>
            <w:pPr>
              <w:spacing w:line="480" w:lineRule="exact"/>
              <w:jc w:val="center"/>
              <w:rPr>
                <w:rFonts w:hint="eastAsia" w:ascii="黑体" w:hAnsi="黑体" w:eastAsia="黑体" w:cs="黑体"/>
                <w:bCs/>
                <w:sz w:val="21"/>
                <w:szCs w:val="21"/>
                <w:lang w:val="en-US" w:eastAsia="zh-CN"/>
              </w:rPr>
            </w:pPr>
          </w:p>
        </w:tc>
        <w:tc>
          <w:tcPr>
            <w:tcW w:w="666" w:type="pct"/>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639" w:type="pct"/>
            <w:tcBorders/>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641" w:type="pct"/>
            <w:vMerge w:val="continue"/>
            <w:tcBorders/>
            <w:noWrap w:val="0"/>
            <w:vAlign w:val="center"/>
          </w:tcPr>
          <w:p>
            <w:pPr>
              <w:spacing w:line="480" w:lineRule="exact"/>
              <w:jc w:val="center"/>
              <w:rPr>
                <w:rFonts w:hint="eastAsia" w:ascii="黑体" w:hAnsi="黑体" w:eastAsia="黑体" w:cs="黑体"/>
                <w:sz w:val="21"/>
                <w:szCs w:val="21"/>
                <w:lang w:val="en-US" w:eastAsia="zh-CN"/>
              </w:rPr>
            </w:pPr>
          </w:p>
        </w:tc>
        <w:tc>
          <w:tcPr>
            <w:tcW w:w="586" w:type="pct"/>
            <w:vMerge w:val="continue"/>
            <w:tcBorders/>
            <w:noWrap w:val="0"/>
            <w:vAlign w:val="center"/>
          </w:tcPr>
          <w:p>
            <w:pPr>
              <w:spacing w:line="480" w:lineRule="exact"/>
              <w:jc w:val="center"/>
              <w:rPr>
                <w:rFonts w:hint="eastAsia" w:ascii="黑体" w:hAnsi="黑体" w:eastAsia="黑体" w:cs="黑体"/>
                <w:bCs/>
                <w:sz w:val="21"/>
                <w:szCs w:val="21"/>
                <w:lang w:val="en-US" w:eastAsia="zh-CN"/>
              </w:rPr>
            </w:pPr>
          </w:p>
        </w:tc>
        <w:tc>
          <w:tcPr>
            <w:tcW w:w="586" w:type="pct"/>
            <w:vMerge w:val="continue"/>
            <w:tcBorders/>
            <w:noWrap w:val="0"/>
            <w:vAlign w:val="center"/>
          </w:tcPr>
          <w:p>
            <w:pPr>
              <w:spacing w:line="480" w:lineRule="exact"/>
              <w:jc w:val="center"/>
              <w:rPr>
                <w:rFonts w:hint="eastAsia" w:ascii="黑体" w:hAnsi="黑体" w:eastAsia="黑体" w:cs="黑体"/>
                <w:bCs/>
                <w:sz w:val="21"/>
                <w:szCs w:val="21"/>
                <w:lang w:val="en-US" w:eastAsia="zh-CN"/>
              </w:rPr>
            </w:pPr>
          </w:p>
        </w:tc>
        <w:tc>
          <w:tcPr>
            <w:tcW w:w="586"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400</w:t>
            </w:r>
          </w:p>
        </w:tc>
        <w:tc>
          <w:tcPr>
            <w:tcW w:w="628"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w:t>
            </w:r>
          </w:p>
        </w:tc>
        <w:tc>
          <w:tcPr>
            <w:tcW w:w="665" w:type="pct"/>
            <w:noWrap w:val="0"/>
            <w:vAlign w:val="center"/>
          </w:tcPr>
          <w:p>
            <w:pPr>
              <w:spacing w:line="480" w:lineRule="exact"/>
              <w:jc w:val="center"/>
              <w:rPr>
                <w:rFonts w:hint="eastAsia" w:ascii="黑体" w:hAnsi="黑体" w:eastAsia="黑体" w:cs="黑体"/>
                <w:bCs/>
                <w:sz w:val="21"/>
                <w:szCs w:val="21"/>
                <w:lang w:val="en-US" w:eastAsia="zh-CN"/>
              </w:rPr>
            </w:pPr>
          </w:p>
        </w:tc>
        <w:tc>
          <w:tcPr>
            <w:tcW w:w="666" w:type="pct"/>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639" w:type="pct"/>
            <w:tcBorders/>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r>
    </w:tbl>
    <w:p>
      <w:pPr>
        <w:spacing w:line="480" w:lineRule="exact"/>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val="en-US" w:eastAsia="zh-CN"/>
        </w:rPr>
        <w:t>以单价包干</w:t>
      </w:r>
      <w:r>
        <w:rPr>
          <w:rFonts w:hint="eastAsia" w:ascii="楷体_GB2312" w:hAnsi="楷体_GB2312" w:eastAsia="黑体" w:cs="楷体_GB2312"/>
          <w:bCs/>
          <w:sz w:val="28"/>
          <w:szCs w:val="28"/>
          <w:lang w:eastAsia="zh-CN"/>
        </w:rPr>
        <w:t>按实际工程量结算</w:t>
      </w: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spacing w:line="480" w:lineRule="exact"/>
        <w:jc w:val="center"/>
        <w:rPr>
          <w:rFonts w:hint="eastAsia" w:ascii="黑体" w:hAnsi="黑体" w:eastAsia="黑体" w:cs="黑体"/>
          <w:bCs/>
          <w:sz w:val="36"/>
          <w:szCs w:val="36"/>
          <w:lang w:eastAsia="zh-CN"/>
        </w:rPr>
      </w:pPr>
      <w:r>
        <w:rPr>
          <w:rFonts w:hint="eastAsia" w:ascii="黑体" w:hAnsi="黑体" w:eastAsia="黑体" w:cs="黑体"/>
          <w:bCs/>
          <w:sz w:val="36"/>
          <w:szCs w:val="36"/>
          <w:lang w:eastAsia="zh-CN"/>
        </w:rPr>
        <w:t>报价表</w:t>
      </w:r>
    </w:p>
    <w:tbl>
      <w:tblPr>
        <w:tblStyle w:val="12"/>
        <w:tblW w:w="510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5"/>
        <w:gridCol w:w="928"/>
        <w:gridCol w:w="928"/>
        <w:gridCol w:w="928"/>
        <w:gridCol w:w="996"/>
        <w:gridCol w:w="1056"/>
        <w:gridCol w:w="1056"/>
        <w:gridCol w:w="1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3"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533"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管道缺陷名称</w:t>
            </w:r>
          </w:p>
        </w:tc>
        <w:tc>
          <w:tcPr>
            <w:tcW w:w="533"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单位</w:t>
            </w:r>
          </w:p>
        </w:tc>
        <w:tc>
          <w:tcPr>
            <w:tcW w:w="533" w:type="pct"/>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管径</w:t>
            </w:r>
          </w:p>
        </w:tc>
        <w:tc>
          <w:tcPr>
            <w:tcW w:w="572"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数量</w:t>
            </w:r>
          </w:p>
        </w:tc>
        <w:tc>
          <w:tcPr>
            <w:tcW w:w="606"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606" w:type="pct"/>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金额（元）</w:t>
            </w:r>
          </w:p>
        </w:tc>
        <w:tc>
          <w:tcPr>
            <w:tcW w:w="1029" w:type="pct"/>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583" w:type="pct"/>
            <w:vMerge w:val="restar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sz w:val="21"/>
                <w:szCs w:val="21"/>
                <w:lang w:val="en-US" w:eastAsia="zh-CN"/>
              </w:rPr>
              <w:t>非开挖式管道修复</w:t>
            </w:r>
          </w:p>
        </w:tc>
        <w:tc>
          <w:tcPr>
            <w:tcW w:w="533" w:type="pct"/>
            <w:vMerge w:val="restar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管道破裂、腐蚀、脱节</w:t>
            </w:r>
          </w:p>
        </w:tc>
        <w:tc>
          <w:tcPr>
            <w:tcW w:w="533" w:type="pct"/>
            <w:vMerge w:val="restar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环</w:t>
            </w:r>
          </w:p>
        </w:tc>
        <w:tc>
          <w:tcPr>
            <w:tcW w:w="533"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300</w:t>
            </w:r>
          </w:p>
        </w:tc>
        <w:tc>
          <w:tcPr>
            <w:tcW w:w="572"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w:t>
            </w:r>
          </w:p>
        </w:tc>
        <w:tc>
          <w:tcPr>
            <w:tcW w:w="606" w:type="pct"/>
            <w:noWrap w:val="0"/>
            <w:vAlign w:val="center"/>
          </w:tcPr>
          <w:p>
            <w:pPr>
              <w:spacing w:line="480" w:lineRule="exact"/>
              <w:jc w:val="center"/>
              <w:rPr>
                <w:rFonts w:hint="eastAsia" w:ascii="黑体" w:hAnsi="黑体" w:eastAsia="黑体" w:cs="黑体"/>
                <w:bCs/>
                <w:sz w:val="21"/>
                <w:szCs w:val="21"/>
                <w:lang w:val="en-US" w:eastAsia="zh-CN"/>
              </w:rPr>
            </w:pPr>
          </w:p>
        </w:tc>
        <w:tc>
          <w:tcPr>
            <w:tcW w:w="606" w:type="pct"/>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1029" w:type="pct"/>
            <w:vMerge w:val="restart"/>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单价包干（含材料、抽水、清淤、封堵、机械台班等）。保证修复后的管道质量符合国家相关标准及规范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3" w:type="pct"/>
            <w:vMerge w:val="continue"/>
            <w:noWrap w:val="0"/>
            <w:vAlign w:val="center"/>
          </w:tcPr>
          <w:p>
            <w:pPr>
              <w:spacing w:line="480" w:lineRule="exact"/>
              <w:jc w:val="center"/>
              <w:rPr>
                <w:rFonts w:hint="eastAsia" w:ascii="黑体" w:hAnsi="黑体" w:eastAsia="黑体" w:cs="黑体"/>
                <w:sz w:val="21"/>
                <w:szCs w:val="21"/>
                <w:lang w:val="en-US" w:eastAsia="zh-CN"/>
              </w:rPr>
            </w:pPr>
          </w:p>
        </w:tc>
        <w:tc>
          <w:tcPr>
            <w:tcW w:w="533" w:type="pct"/>
            <w:vMerge w:val="continue"/>
            <w:noWrap w:val="0"/>
            <w:vAlign w:val="center"/>
          </w:tcPr>
          <w:p>
            <w:pPr>
              <w:spacing w:line="480" w:lineRule="exact"/>
              <w:jc w:val="center"/>
              <w:rPr>
                <w:rFonts w:hint="eastAsia" w:ascii="黑体" w:hAnsi="黑体" w:eastAsia="黑体" w:cs="黑体"/>
                <w:bCs/>
                <w:sz w:val="21"/>
                <w:szCs w:val="21"/>
                <w:lang w:val="en-US" w:eastAsia="zh-CN"/>
              </w:rPr>
            </w:pPr>
          </w:p>
        </w:tc>
        <w:tc>
          <w:tcPr>
            <w:tcW w:w="533" w:type="pct"/>
            <w:vMerge w:val="continue"/>
            <w:noWrap w:val="0"/>
            <w:vAlign w:val="center"/>
          </w:tcPr>
          <w:p>
            <w:pPr>
              <w:spacing w:line="480" w:lineRule="exact"/>
              <w:jc w:val="center"/>
              <w:rPr>
                <w:rFonts w:hint="eastAsia" w:ascii="黑体" w:hAnsi="黑体" w:eastAsia="黑体" w:cs="黑体"/>
                <w:bCs/>
                <w:sz w:val="21"/>
                <w:szCs w:val="21"/>
                <w:lang w:val="en-US" w:eastAsia="zh-CN"/>
              </w:rPr>
            </w:pPr>
          </w:p>
        </w:tc>
        <w:tc>
          <w:tcPr>
            <w:tcW w:w="533"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400</w:t>
            </w:r>
          </w:p>
        </w:tc>
        <w:tc>
          <w:tcPr>
            <w:tcW w:w="572"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w:t>
            </w:r>
          </w:p>
        </w:tc>
        <w:tc>
          <w:tcPr>
            <w:tcW w:w="606" w:type="pct"/>
            <w:noWrap w:val="0"/>
            <w:vAlign w:val="center"/>
          </w:tcPr>
          <w:p>
            <w:pPr>
              <w:spacing w:line="480" w:lineRule="exact"/>
              <w:jc w:val="center"/>
              <w:rPr>
                <w:rFonts w:hint="eastAsia" w:ascii="黑体" w:hAnsi="黑体" w:eastAsia="黑体" w:cs="黑体"/>
                <w:bCs/>
                <w:sz w:val="21"/>
                <w:szCs w:val="21"/>
                <w:lang w:val="en-US" w:eastAsia="zh-CN"/>
              </w:rPr>
            </w:pPr>
          </w:p>
        </w:tc>
        <w:tc>
          <w:tcPr>
            <w:tcW w:w="606" w:type="pct"/>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1029" w:type="pct"/>
            <w:vMerge w:val="continue"/>
            <w:tcBorders/>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583" w:type="pct"/>
            <w:vMerge w:val="continue"/>
            <w:noWrap w:val="0"/>
            <w:vAlign w:val="center"/>
          </w:tcPr>
          <w:p>
            <w:pPr>
              <w:spacing w:line="480" w:lineRule="exact"/>
              <w:jc w:val="center"/>
              <w:rPr>
                <w:rFonts w:hint="eastAsia" w:ascii="黑体" w:hAnsi="黑体" w:eastAsia="黑体" w:cs="黑体"/>
                <w:sz w:val="21"/>
                <w:szCs w:val="21"/>
                <w:lang w:val="en-US" w:eastAsia="zh-CN"/>
              </w:rPr>
            </w:pPr>
          </w:p>
        </w:tc>
        <w:tc>
          <w:tcPr>
            <w:tcW w:w="533" w:type="pct"/>
            <w:vMerge w:val="restar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管道变形、障碍物</w:t>
            </w:r>
          </w:p>
        </w:tc>
        <w:tc>
          <w:tcPr>
            <w:tcW w:w="533" w:type="pct"/>
            <w:vMerge w:val="restar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环</w:t>
            </w:r>
          </w:p>
        </w:tc>
        <w:tc>
          <w:tcPr>
            <w:tcW w:w="533"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300</w:t>
            </w:r>
          </w:p>
        </w:tc>
        <w:tc>
          <w:tcPr>
            <w:tcW w:w="572"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w:t>
            </w:r>
          </w:p>
        </w:tc>
        <w:tc>
          <w:tcPr>
            <w:tcW w:w="606" w:type="pct"/>
            <w:noWrap w:val="0"/>
            <w:vAlign w:val="center"/>
          </w:tcPr>
          <w:p>
            <w:pPr>
              <w:spacing w:line="480" w:lineRule="exact"/>
              <w:jc w:val="center"/>
              <w:rPr>
                <w:rFonts w:hint="eastAsia" w:ascii="黑体" w:hAnsi="黑体" w:eastAsia="黑体" w:cs="黑体"/>
                <w:bCs/>
                <w:sz w:val="21"/>
                <w:szCs w:val="21"/>
                <w:lang w:val="en-US" w:eastAsia="zh-CN"/>
              </w:rPr>
            </w:pPr>
          </w:p>
        </w:tc>
        <w:tc>
          <w:tcPr>
            <w:tcW w:w="606" w:type="pct"/>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1029" w:type="pct"/>
            <w:vMerge w:val="continue"/>
            <w:tcBorders/>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583" w:type="pct"/>
            <w:vMerge w:val="continue"/>
            <w:noWrap w:val="0"/>
            <w:vAlign w:val="center"/>
          </w:tcPr>
          <w:p>
            <w:pPr>
              <w:spacing w:line="480" w:lineRule="exact"/>
              <w:jc w:val="center"/>
              <w:rPr>
                <w:rFonts w:hint="eastAsia" w:ascii="黑体" w:hAnsi="黑体" w:eastAsia="黑体" w:cs="黑体"/>
                <w:sz w:val="21"/>
                <w:szCs w:val="21"/>
                <w:lang w:val="en-US" w:eastAsia="zh-CN"/>
              </w:rPr>
            </w:pPr>
          </w:p>
        </w:tc>
        <w:tc>
          <w:tcPr>
            <w:tcW w:w="533" w:type="pct"/>
            <w:vMerge w:val="continue"/>
            <w:noWrap w:val="0"/>
            <w:vAlign w:val="center"/>
          </w:tcPr>
          <w:p>
            <w:pPr>
              <w:spacing w:line="480" w:lineRule="exact"/>
              <w:jc w:val="center"/>
              <w:rPr>
                <w:rFonts w:hint="eastAsia" w:ascii="黑体" w:hAnsi="黑体" w:eastAsia="黑体" w:cs="黑体"/>
                <w:bCs/>
                <w:sz w:val="21"/>
                <w:szCs w:val="21"/>
                <w:lang w:val="en-US" w:eastAsia="zh-CN"/>
              </w:rPr>
            </w:pPr>
          </w:p>
        </w:tc>
        <w:tc>
          <w:tcPr>
            <w:tcW w:w="533" w:type="pct"/>
            <w:vMerge w:val="continue"/>
            <w:noWrap w:val="0"/>
            <w:vAlign w:val="center"/>
          </w:tcPr>
          <w:p>
            <w:pPr>
              <w:spacing w:line="480" w:lineRule="exact"/>
              <w:jc w:val="center"/>
              <w:rPr>
                <w:rFonts w:hint="eastAsia" w:ascii="黑体" w:hAnsi="黑体" w:eastAsia="黑体" w:cs="黑体"/>
                <w:bCs/>
                <w:sz w:val="21"/>
                <w:szCs w:val="21"/>
                <w:lang w:val="en-US" w:eastAsia="zh-CN"/>
              </w:rPr>
            </w:pPr>
          </w:p>
        </w:tc>
        <w:tc>
          <w:tcPr>
            <w:tcW w:w="533"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400</w:t>
            </w:r>
          </w:p>
        </w:tc>
        <w:tc>
          <w:tcPr>
            <w:tcW w:w="572" w:type="pct"/>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w:t>
            </w:r>
          </w:p>
        </w:tc>
        <w:tc>
          <w:tcPr>
            <w:tcW w:w="606" w:type="pct"/>
            <w:noWrap w:val="0"/>
            <w:vAlign w:val="center"/>
          </w:tcPr>
          <w:p>
            <w:pPr>
              <w:spacing w:line="480" w:lineRule="exact"/>
              <w:jc w:val="center"/>
              <w:rPr>
                <w:rFonts w:hint="eastAsia" w:ascii="黑体" w:hAnsi="黑体" w:eastAsia="黑体" w:cs="黑体"/>
                <w:bCs/>
                <w:sz w:val="21"/>
                <w:szCs w:val="21"/>
                <w:lang w:val="en-US" w:eastAsia="zh-CN"/>
              </w:rPr>
            </w:pPr>
          </w:p>
        </w:tc>
        <w:tc>
          <w:tcPr>
            <w:tcW w:w="606" w:type="pct"/>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c>
          <w:tcPr>
            <w:tcW w:w="1029" w:type="pct"/>
            <w:vMerge w:val="continue"/>
            <w:tcBorders/>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5000" w:type="pct"/>
            <w:gridSpan w:val="8"/>
            <w:tcBorders/>
            <w:noWrap w:val="0"/>
            <w:vAlign w:val="center"/>
          </w:tcPr>
          <w:p>
            <w:pPr>
              <w:keepNext w:val="0"/>
              <w:keepLines w:val="0"/>
              <w:widowControl/>
              <w:suppressLineNumbers w:val="0"/>
              <w:jc w:val="center"/>
              <w:textAlignment w:val="center"/>
              <w:rPr>
                <w:rFonts w:hint="eastAsia" w:ascii="黑体" w:hAnsi="黑体" w:eastAsia="黑体" w:cs="黑体"/>
                <w:bCs/>
                <w:sz w:val="21"/>
                <w:szCs w:val="21"/>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%增值税专用发票</w:t>
            </w:r>
          </w:p>
        </w:tc>
      </w:tr>
    </w:tbl>
    <w:p>
      <w:pPr>
        <w:spacing w:line="480" w:lineRule="exact"/>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val="en-US" w:eastAsia="zh-CN"/>
        </w:rPr>
        <w:t>以单价包干</w:t>
      </w:r>
      <w:r>
        <w:rPr>
          <w:rFonts w:hint="eastAsia" w:ascii="楷体_GB2312" w:hAnsi="楷体_GB2312" w:eastAsia="黑体" w:cs="楷体_GB2312"/>
          <w:bCs/>
          <w:sz w:val="28"/>
          <w:szCs w:val="28"/>
          <w:lang w:eastAsia="zh-CN"/>
        </w:rPr>
        <w:t>按实际工程量结算</w:t>
      </w:r>
    </w:p>
    <w:p>
      <w:pPr>
        <w:spacing w:line="480" w:lineRule="exact"/>
        <w:jc w:val="both"/>
        <w:rPr>
          <w:rFonts w:hint="eastAsia" w:ascii="黑体" w:hAnsi="黑体" w:eastAsia="黑体" w:cs="黑体"/>
          <w:bCs/>
          <w:sz w:val="36"/>
          <w:szCs w:val="36"/>
          <w:lang w:eastAsia="zh-CN"/>
        </w:rPr>
      </w:pPr>
    </w:p>
    <w:p>
      <w:pPr>
        <w:spacing w:line="480" w:lineRule="exact"/>
        <w:ind w:firstLine="560" w:firstLineChars="200"/>
        <w:rPr>
          <w:rFonts w:hint="eastAsia" w:ascii="楷体_GB2312" w:hAnsi="楷体_GB2312" w:eastAsia="黑体" w:cs="楷体_GB2312"/>
          <w:bCs/>
          <w:sz w:val="28"/>
          <w:szCs w:val="28"/>
          <w:lang w:eastAsia="zh-CN"/>
        </w:rPr>
      </w:pPr>
    </w:p>
    <w:p>
      <w:pPr>
        <w:spacing w:line="480" w:lineRule="exact"/>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eastAsia" w:ascii="黑体" w:hAnsi="黑体" w:eastAsia="黑体" w:cs="黑体"/>
          <w:sz w:val="28"/>
          <w:szCs w:val="28"/>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r>
        <w:rPr>
          <w:rFonts w:hint="eastAsia" w:ascii="黑体" w:hAnsi="黑体" w:eastAsia="黑体" w:cs="黑体"/>
          <w:sz w:val="28"/>
          <w:szCs w:val="28"/>
          <w:lang w:val="en-US" w:eastAsia="zh-CN"/>
        </w:rPr>
        <w:t>年    月   日</w:t>
      </w:r>
    </w:p>
    <w:p>
      <w:pPr>
        <w:bidi w:val="0"/>
        <w:jc w:val="left"/>
        <w:rPr>
          <w:rFonts w:hint="default"/>
          <w:lang w:val="en-US"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mZTI4YjQ1OGUyOTQ0N2RiYTgyMzM1OWNkNjM2OTIifQ=="/>
  </w:docVars>
  <w:rsids>
    <w:rsidRoot w:val="00000000"/>
    <w:rsid w:val="01E940B6"/>
    <w:rsid w:val="093A3D20"/>
    <w:rsid w:val="123B44DB"/>
    <w:rsid w:val="1B1A3D72"/>
    <w:rsid w:val="23BE366C"/>
    <w:rsid w:val="25016986"/>
    <w:rsid w:val="26CB7B8B"/>
    <w:rsid w:val="26D03093"/>
    <w:rsid w:val="282547DB"/>
    <w:rsid w:val="2BDB7F3A"/>
    <w:rsid w:val="2C2179E7"/>
    <w:rsid w:val="2C563E8D"/>
    <w:rsid w:val="2EC11F71"/>
    <w:rsid w:val="342F034B"/>
    <w:rsid w:val="39CD293D"/>
    <w:rsid w:val="3B0F003B"/>
    <w:rsid w:val="3D133366"/>
    <w:rsid w:val="3FD748AC"/>
    <w:rsid w:val="44337892"/>
    <w:rsid w:val="45737EAE"/>
    <w:rsid w:val="47187195"/>
    <w:rsid w:val="47C562E2"/>
    <w:rsid w:val="4A4C0961"/>
    <w:rsid w:val="557821C2"/>
    <w:rsid w:val="574507F7"/>
    <w:rsid w:val="57671164"/>
    <w:rsid w:val="5A547995"/>
    <w:rsid w:val="5FE64881"/>
    <w:rsid w:val="67A759D1"/>
    <w:rsid w:val="69CB37D4"/>
    <w:rsid w:val="6B0609B5"/>
    <w:rsid w:val="6BE94F83"/>
    <w:rsid w:val="6D901EFF"/>
    <w:rsid w:val="6E65699A"/>
    <w:rsid w:val="72D36C77"/>
    <w:rsid w:val="7557656C"/>
    <w:rsid w:val="7B4D0916"/>
    <w:rsid w:val="7C2101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autoRedefine/>
    <w:unhideWhenUsed/>
    <w:qFormat/>
    <w:uiPriority w:val="1"/>
  </w:style>
  <w:style w:type="table" w:default="1" w:styleId="11">
    <w:name w:val="Normal Table"/>
    <w:autoRedefine/>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0"/>
    <w:pPr>
      <w:ind w:firstLine="420" w:firstLineChars="200"/>
    </w:pPr>
    <w:rPr>
      <w:rFonts w:ascii="Calibri" w:hAnsi="Calibri" w:eastAsia="仿宋"/>
      <w:sz w:val="32"/>
    </w:rPr>
  </w:style>
  <w:style w:type="paragraph" w:styleId="7">
    <w:name w:val="Body Text Indent"/>
    <w:basedOn w:val="1"/>
    <w:next w:val="6"/>
    <w:autoRedefine/>
    <w:qFormat/>
    <w:uiPriority w:val="0"/>
    <w:pPr>
      <w:spacing w:after="120"/>
      <w:ind w:left="420" w:leftChars="200"/>
    </w:pPr>
    <w:rPr>
      <w:rFonts w:eastAsia="宋体" w:cs="Times New Roman"/>
      <w:sz w:val="21"/>
    </w:r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Body Text First Indent 2"/>
    <w:basedOn w:val="7"/>
    <w:autoRedefine/>
    <w:qFormat/>
    <w:uiPriority w:val="0"/>
    <w:pPr>
      <w:ind w:firstLine="420" w:firstLineChars="200"/>
    </w:pPr>
    <w:rPr>
      <w:szCs w:val="24"/>
    </w:rPr>
  </w:style>
  <w:style w:type="table" w:styleId="12">
    <w:name w:val="Table Grid"/>
    <w:basedOn w:val="11"/>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Body text|1"/>
    <w:basedOn w:val="1"/>
    <w:autoRedefine/>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513</Words>
  <Characters>545</Characters>
  <Lines>8</Lines>
  <Paragraphs>2</Paragraphs>
  <TotalTime>1</TotalTime>
  <ScaleCrop>false</ScaleCrop>
  <LinksUpToDate>false</LinksUpToDate>
  <CharactersWithSpaces>641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开拓者</cp:lastModifiedBy>
  <cp:lastPrinted>2023-11-29T14:19:00Z</cp:lastPrinted>
  <dcterms:modified xsi:type="dcterms:W3CDTF">2024-02-21T03:00:25Z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C98EFCBC27394F22898E8594E74EED38_13</vt:lpwstr>
  </property>
</Properties>
</file>