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rPr>
          <w:rFonts w:hint="eastAsia" w:ascii="黑体" w:hAnsi="黑体" w:eastAsia="黑体" w:cs="黑体"/>
          <w:sz w:val="40"/>
          <w:szCs w:val="40"/>
        </w:rPr>
      </w:pPr>
      <w:r>
        <w:rPr>
          <w:rFonts w:hint="eastAsia" w:ascii="黑体" w:hAnsi="黑体" w:eastAsia="黑体" w:cs="黑体"/>
          <w:sz w:val="40"/>
          <w:szCs w:val="40"/>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hint="eastAsia" w:ascii="黑体" w:hAnsi="黑体" w:eastAsia="黑体" w:cs="黑体"/>
          <w:sz w:val="28"/>
          <w:szCs w:val="28"/>
        </w:rPr>
      </w:pPr>
      <w:r>
        <w:rPr>
          <w:rFonts w:hint="eastAsia" w:ascii="黑体" w:hAnsi="黑体" w:eastAsia="黑体" w:cs="黑体"/>
          <w:sz w:val="28"/>
          <w:szCs w:val="28"/>
        </w:rPr>
        <w:t>我公司</w:t>
      </w:r>
      <w:r>
        <w:rPr>
          <w:rFonts w:hint="eastAsia" w:ascii="黑体" w:hAnsi="黑体" w:eastAsia="黑体" w:cs="黑体"/>
          <w:sz w:val="28"/>
          <w:szCs w:val="28"/>
          <w:lang w:eastAsia="zh-CN"/>
        </w:rPr>
        <w:t>因</w:t>
      </w:r>
      <w:r>
        <w:rPr>
          <w:rFonts w:hint="eastAsia" w:ascii="黑体" w:hAnsi="黑体" w:eastAsia="黑体" w:cs="黑体"/>
          <w:sz w:val="28"/>
          <w:szCs w:val="28"/>
          <w:lang w:val="en-US" w:eastAsia="zh-CN"/>
        </w:rPr>
        <w:t>会昌县麻州镇冷链物流中心建设项目</w:t>
      </w:r>
      <w:r>
        <w:rPr>
          <w:rFonts w:hint="eastAsia" w:ascii="黑体" w:hAnsi="黑体" w:eastAsia="黑体" w:cs="黑体"/>
          <w:sz w:val="28"/>
          <w:szCs w:val="28"/>
          <w:lang w:eastAsia="zh-CN"/>
        </w:rPr>
        <w:t>需要</w:t>
      </w:r>
      <w:r>
        <w:rPr>
          <w:rFonts w:hint="eastAsia" w:ascii="黑体" w:hAnsi="黑体" w:eastAsia="黑体" w:cs="黑体"/>
          <w:sz w:val="28"/>
          <w:szCs w:val="28"/>
          <w:lang w:val="en-US" w:eastAsia="zh-CN"/>
        </w:rPr>
        <w:t>防雷工程施工班组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各公司进行报价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联系人：胡工  联系电话：15970996995。</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报价截止时间为2024年1月26日17时。</w:t>
      </w:r>
    </w:p>
    <w:p>
      <w:pPr>
        <w:numPr>
          <w:ilvl w:val="0"/>
          <w:numId w:val="1"/>
        </w:num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主要建设内容有：</w:t>
      </w:r>
    </w:p>
    <w:p>
      <w:pPr>
        <w:numPr>
          <w:ilvl w:val="0"/>
          <w:numId w:val="2"/>
        </w:numPr>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施工内容：1#车间、2#车间、4#车间、5#车间、6#车间、1#商贸楼、2#商贸楼、3#商贸楼防雷接地工程（基础接地焊接，避雷网安装，均压环敷设，避雷引下线敷设，等电位端子箱安装等，具体参照本项目防雷工程设计图纸内容）。</w:t>
      </w:r>
    </w:p>
    <w:p>
      <w:pPr>
        <w:numPr>
          <w:ilvl w:val="0"/>
          <w:numId w:val="2"/>
        </w:numPr>
        <w:jc w:val="left"/>
        <w:rPr>
          <w:rFonts w:hint="eastAsia"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2、工期：按土建施工进度合理安排。</w:t>
      </w:r>
    </w:p>
    <w:p>
      <w:pPr>
        <w:pStyle w:val="8"/>
        <w:numPr>
          <w:ilvl w:val="0"/>
          <w:numId w:val="0"/>
        </w:numP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3、施工要求：严格按照本项目防雷工程设计图纸及说明施工，并符合国家防雷设计和验收规范、规定的要求。</w:t>
      </w:r>
    </w:p>
    <w:p>
      <w:pPr>
        <w:pStyle w:val="8"/>
        <w:numPr>
          <w:ilvl w:val="0"/>
          <w:numId w:val="0"/>
        </w:numPr>
        <w:ind w:left="560" w:leftChars="0"/>
        <w:rPr>
          <w:rFonts w:hint="eastAsia" w:ascii="黑体" w:hAnsi="黑体" w:eastAsia="黑体" w:cs="黑体"/>
          <w:sz w:val="28"/>
          <w:szCs w:val="28"/>
          <w:lang w:val="en-US" w:eastAsia="zh-CN"/>
        </w:rPr>
      </w:pPr>
      <w:r>
        <w:rPr>
          <w:rFonts w:hint="eastAsia" w:ascii="黑体" w:hAnsi="黑体" w:eastAsia="黑体" w:cs="黑体"/>
          <w:kern w:val="2"/>
          <w:sz w:val="28"/>
          <w:szCs w:val="28"/>
          <w:lang w:val="en-US" w:eastAsia="zh-CN" w:bidi="ar-SA"/>
        </w:rPr>
        <w:t>二、</w:t>
      </w:r>
      <w:r>
        <w:rPr>
          <w:rFonts w:hint="eastAsia" w:ascii="黑体" w:hAnsi="黑体" w:eastAsia="黑体" w:cs="黑体"/>
          <w:sz w:val="28"/>
          <w:szCs w:val="28"/>
          <w:lang w:val="en-US" w:eastAsia="zh-CN"/>
        </w:rPr>
        <w:t>工程款支付</w:t>
      </w:r>
    </w:p>
    <w:p>
      <w:pPr>
        <w:pStyle w:val="8"/>
        <w:numPr>
          <w:ilvl w:val="0"/>
          <w:numId w:val="0"/>
        </w:numPr>
        <w:ind w:left="560" w:leftChars="0" w:firstLine="480" w:firstLineChars="200"/>
        <w:rPr>
          <w:rFonts w:hint="default" w:ascii="宋体" w:hAnsi="宋体" w:cs="宋体"/>
          <w:kern w:val="2"/>
          <w:sz w:val="24"/>
          <w:szCs w:val="24"/>
          <w:lang w:val="en-US" w:eastAsia="zh-CN" w:bidi="ar-SA"/>
        </w:rPr>
      </w:pPr>
      <w:r>
        <w:rPr>
          <w:rFonts w:hint="eastAsia" w:ascii="宋体" w:hAnsi="宋体" w:eastAsia="宋体" w:cs="宋体"/>
          <w:kern w:val="2"/>
          <w:sz w:val="24"/>
          <w:szCs w:val="24"/>
          <w:lang w:val="en-US" w:eastAsia="zh-CN" w:bidi="ar-SA"/>
        </w:rPr>
        <w:t>按月支付工程进度款，</w:t>
      </w:r>
      <w:bookmarkStart w:id="0" w:name="_GoBack"/>
      <w:bookmarkEnd w:id="0"/>
      <w:r>
        <w:rPr>
          <w:rFonts w:hint="eastAsia" w:ascii="宋体" w:hAnsi="宋体" w:eastAsia="宋体" w:cs="宋体"/>
          <w:kern w:val="2"/>
          <w:sz w:val="24"/>
          <w:szCs w:val="24"/>
          <w:lang w:val="en-US" w:eastAsia="zh-CN" w:bidi="ar-SA"/>
        </w:rPr>
        <w:t>每月支付经甲方和监理确定已完成合格工程量工程款的80％；工程完工防雷装置检测验收合格后，支付已完合格工程量工程价款的95％，剩余5％（根据《建筑物防雷设计规范》）验收合格后两年内无质量情况，无息一次性支付给乙方。</w:t>
      </w:r>
    </w:p>
    <w:p>
      <w:pPr>
        <w:numPr>
          <w:ilvl w:val="0"/>
          <w:numId w:val="0"/>
        </w:numPr>
        <w:spacing w:line="480" w:lineRule="exact"/>
        <w:ind w:left="630" w:leftChars="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三、询价内容及要求：</w:t>
      </w:r>
    </w:p>
    <w:p>
      <w:pPr>
        <w:pStyle w:val="8"/>
        <w:numPr>
          <w:ilvl w:val="0"/>
          <w:numId w:val="0"/>
        </w:numPr>
        <w:ind w:leftChars="40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工程清单</w:t>
      </w:r>
    </w:p>
    <w:tbl>
      <w:tblPr>
        <w:tblStyle w:val="10"/>
        <w:tblpPr w:leftFromText="180" w:rightFromText="180" w:vertAnchor="page" w:horzAnchor="page" w:tblpX="2074" w:tblpY="2880"/>
        <w:tblOverlap w:val="never"/>
        <w:tblW w:w="490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20"/>
        <w:gridCol w:w="2535"/>
        <w:gridCol w:w="1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2525"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1517"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工程量</w:t>
            </w:r>
          </w:p>
        </w:tc>
        <w:tc>
          <w:tcPr>
            <w:tcW w:w="957"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0" w:hRule="atLeast"/>
        </w:trPr>
        <w:tc>
          <w:tcPr>
            <w:tcW w:w="2525"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kern w:val="2"/>
                <w:sz w:val="24"/>
                <w:szCs w:val="24"/>
                <w:lang w:val="en-US" w:eastAsia="zh-CN" w:bidi="ar-SA"/>
              </w:rPr>
              <w:t>1#车间、2#车间、4#车间、5#车间、6#车间、1#商贸楼、2#商贸楼、3#商贸楼防雷接地工程</w:t>
            </w:r>
          </w:p>
        </w:tc>
        <w:tc>
          <w:tcPr>
            <w:tcW w:w="1517"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kern w:val="2"/>
                <w:sz w:val="24"/>
                <w:szCs w:val="24"/>
                <w:lang w:val="en-US" w:eastAsia="zh-CN" w:bidi="ar-SA"/>
              </w:rPr>
              <w:t>本项目防雷工程设计图纸及说明</w:t>
            </w:r>
          </w:p>
        </w:tc>
        <w:tc>
          <w:tcPr>
            <w:tcW w:w="957" w:type="pct"/>
            <w:vAlign w:val="center"/>
          </w:tcPr>
          <w:p>
            <w:pPr>
              <w:jc w:val="center"/>
              <w:rPr>
                <w:rFonts w:hint="default" w:ascii="黑体" w:hAnsi="黑体" w:eastAsia="黑体" w:cs="黑体"/>
                <w:kern w:val="2"/>
                <w:sz w:val="28"/>
                <w:szCs w:val="28"/>
                <w:vertAlign w:val="baseline"/>
                <w:lang w:val="en-US" w:eastAsia="zh-CN" w:bidi="ar-SA"/>
              </w:rPr>
            </w:pPr>
          </w:p>
        </w:tc>
      </w:tr>
    </w:tbl>
    <w:p>
      <w:pPr>
        <w:jc w:val="center"/>
        <w:rPr>
          <w:rFonts w:hint="eastAsia" w:ascii="宋体" w:hAnsi="宋体" w:eastAsia="宋体" w:cs="宋体"/>
          <w:kern w:val="2"/>
          <w:sz w:val="24"/>
          <w:szCs w:val="24"/>
          <w:lang w:val="en-US" w:eastAsia="zh-CN" w:bidi="ar-SA"/>
        </w:rPr>
      </w:pPr>
    </w:p>
    <w:p>
      <w:pPr>
        <w:jc w:val="center"/>
        <w:rPr>
          <w:rFonts w:hint="default" w:ascii="宋体" w:hAnsi="宋体" w:eastAsia="宋体" w:cs="宋体"/>
          <w:kern w:val="2"/>
          <w:sz w:val="24"/>
          <w:szCs w:val="24"/>
          <w:lang w:val="en-US" w:eastAsia="zh-CN" w:bidi="ar-SA"/>
        </w:rPr>
      </w:pPr>
      <w:r>
        <w:rPr>
          <w:rFonts w:hint="eastAsia" w:ascii="宋体" w:hAnsi="宋体" w:eastAsia="宋体" w:cs="宋体"/>
          <w:kern w:val="2"/>
          <w:sz w:val="24"/>
          <w:szCs w:val="24"/>
          <w:lang w:val="en-US" w:eastAsia="zh-CN" w:bidi="ar-SA"/>
        </w:rPr>
        <w:t>含增值税专票，满足图纸设计要求,结算以工程量包干计算。</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rPr>
          <w:rFonts w:hint="eastAsia" w:ascii="黑体" w:hAnsi="黑体" w:eastAsia="黑体" w:cs="黑体"/>
          <w:bCs/>
          <w:sz w:val="28"/>
          <w:szCs w:val="28"/>
          <w:lang w:eastAsia="zh-CN"/>
        </w:rPr>
      </w:pPr>
    </w:p>
    <w:p>
      <w:pPr>
        <w:spacing w:line="480" w:lineRule="exact"/>
        <w:ind w:firstLine="560"/>
        <w:rPr>
          <w:rFonts w:hint="eastAsia" w:ascii="黑体" w:hAnsi="黑体" w:eastAsia="黑体" w:cs="黑体"/>
          <w:bCs/>
          <w:sz w:val="28"/>
          <w:szCs w:val="28"/>
          <w:lang w:eastAsia="zh-C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pPr>
    </w:p>
    <w:p>
      <w:pPr>
        <w:spacing w:line="480" w:lineRule="exact"/>
        <w:ind w:firstLine="560"/>
        <w:rPr>
          <w:rFonts w:hint="eastAsia" w:ascii="黑体" w:hAnsi="黑体" w:eastAsia="黑体" w:cs="黑体"/>
          <w:bCs/>
          <w:sz w:val="28"/>
          <w:szCs w:val="28"/>
          <w:lang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eastAsia="zh-CN"/>
        </w:rPr>
        <w:t>报价表</w:t>
      </w:r>
    </w:p>
    <w:tbl>
      <w:tblPr>
        <w:tblStyle w:val="10"/>
        <w:tblpPr w:leftFromText="180" w:rightFromText="180" w:vertAnchor="page" w:horzAnchor="page" w:tblpX="2074" w:tblpY="2880"/>
        <w:tblOverlap w:val="never"/>
        <w:tblW w:w="483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164"/>
        <w:gridCol w:w="1900"/>
        <w:gridCol w:w="1367"/>
        <w:gridCol w:w="14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trPr>
        <w:tc>
          <w:tcPr>
            <w:tcW w:w="2147" w:type="pct"/>
            <w:gridSpan w:val="2"/>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名称</w:t>
            </w:r>
          </w:p>
        </w:tc>
        <w:tc>
          <w:tcPr>
            <w:tcW w:w="1153"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工程量</w:t>
            </w:r>
          </w:p>
        </w:tc>
        <w:tc>
          <w:tcPr>
            <w:tcW w:w="82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val="en-US" w:eastAsia="zh-CN"/>
              </w:rPr>
              <w:t>金额（元）</w:t>
            </w:r>
          </w:p>
        </w:tc>
        <w:tc>
          <w:tcPr>
            <w:tcW w:w="869" w:type="pct"/>
            <w:vAlign w:val="center"/>
          </w:tcPr>
          <w:p>
            <w:pPr>
              <w:jc w:val="center"/>
              <w:rPr>
                <w:rFonts w:hint="eastAsia" w:ascii="黑体" w:hAnsi="黑体" w:eastAsia="黑体" w:cs="黑体"/>
                <w:sz w:val="28"/>
                <w:szCs w:val="28"/>
                <w:vertAlign w:val="baseline"/>
                <w:lang w:eastAsia="zh-CN"/>
              </w:rPr>
            </w:pPr>
            <w:r>
              <w:rPr>
                <w:rFonts w:hint="eastAsia" w:ascii="黑体" w:hAnsi="黑体" w:eastAsia="黑体" w:cs="黑体"/>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0" w:hRule="atLeast"/>
        </w:trPr>
        <w:tc>
          <w:tcPr>
            <w:tcW w:w="2147" w:type="pct"/>
            <w:gridSpan w:val="2"/>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kern w:val="2"/>
                <w:sz w:val="24"/>
                <w:szCs w:val="24"/>
                <w:lang w:val="en-US" w:eastAsia="zh-CN" w:bidi="ar-SA"/>
              </w:rPr>
              <w:t>1#车间、2#车间、4#车间、5#车间、6#车间、1#商贸楼、2#商贸楼、3#商贸楼防雷接地工程</w:t>
            </w:r>
          </w:p>
        </w:tc>
        <w:tc>
          <w:tcPr>
            <w:tcW w:w="1153" w:type="pct"/>
            <w:vAlign w:val="center"/>
          </w:tcPr>
          <w:p>
            <w:pPr>
              <w:jc w:val="center"/>
              <w:rPr>
                <w:rFonts w:hint="default" w:ascii="宋体" w:hAnsi="宋体" w:eastAsia="宋体" w:cs="宋体"/>
                <w:b/>
                <w:bCs/>
                <w:sz w:val="21"/>
                <w:szCs w:val="21"/>
                <w:vertAlign w:val="baseline"/>
                <w:lang w:val="en-US" w:eastAsia="zh-CN"/>
              </w:rPr>
            </w:pPr>
            <w:r>
              <w:rPr>
                <w:rFonts w:hint="eastAsia" w:ascii="宋体" w:hAnsi="宋体" w:eastAsia="宋体" w:cs="宋体"/>
                <w:kern w:val="2"/>
                <w:sz w:val="24"/>
                <w:szCs w:val="24"/>
                <w:lang w:val="en-US" w:eastAsia="zh-CN" w:bidi="ar-SA"/>
              </w:rPr>
              <w:t>本项目防雷工程设计图纸及说明</w:t>
            </w:r>
          </w:p>
        </w:tc>
        <w:tc>
          <w:tcPr>
            <w:tcW w:w="829" w:type="pct"/>
            <w:vAlign w:val="center"/>
          </w:tcPr>
          <w:p>
            <w:pPr>
              <w:jc w:val="center"/>
              <w:rPr>
                <w:rFonts w:hint="default" w:ascii="黑体" w:hAnsi="黑体" w:eastAsia="黑体" w:cs="黑体"/>
                <w:kern w:val="2"/>
                <w:sz w:val="28"/>
                <w:szCs w:val="28"/>
                <w:vertAlign w:val="baseline"/>
                <w:lang w:val="en-US" w:eastAsia="zh-CN" w:bidi="ar-SA"/>
              </w:rPr>
            </w:pPr>
          </w:p>
        </w:tc>
        <w:tc>
          <w:tcPr>
            <w:tcW w:w="869" w:type="pct"/>
            <w:vAlign w:val="center"/>
          </w:tcPr>
          <w:p>
            <w:pPr>
              <w:jc w:val="center"/>
              <w:rPr>
                <w:rFonts w:hint="default" w:ascii="黑体" w:hAnsi="黑体" w:eastAsia="黑体" w:cs="黑体"/>
                <w:kern w:val="2"/>
                <w:sz w:val="28"/>
                <w:szCs w:val="28"/>
                <w:vertAlign w:val="baseline"/>
                <w:lang w:val="en-US" w:eastAsia="zh-CN" w:bidi="ar-SA"/>
              </w:rPr>
            </w:pPr>
            <w:r>
              <w:rPr>
                <w:rFonts w:hint="eastAsia" w:ascii="宋体" w:hAnsi="宋体" w:eastAsia="宋体" w:cs="宋体"/>
                <w:kern w:val="2"/>
                <w:sz w:val="24"/>
                <w:szCs w:val="24"/>
                <w:lang w:val="en-US" w:eastAsia="zh-CN" w:bidi="ar-SA"/>
              </w:rPr>
              <w:t>包干价结算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833" w:type="pct"/>
            <w:vAlign w:val="center"/>
          </w:tcPr>
          <w:p>
            <w:pPr>
              <w:jc w:val="center"/>
              <w:rPr>
                <w:rFonts w:hint="eastAsia" w:ascii="黑体" w:hAnsi="黑体" w:eastAsia="黑体" w:cs="黑体"/>
                <w:b w:val="0"/>
                <w:bCs w:val="0"/>
                <w:sz w:val="21"/>
                <w:szCs w:val="21"/>
                <w:vertAlign w:val="baseline"/>
                <w:lang w:val="en-US" w:eastAsia="zh-CN"/>
              </w:rPr>
            </w:pPr>
          </w:p>
        </w:tc>
        <w:tc>
          <w:tcPr>
            <w:tcW w:w="3296" w:type="pct"/>
            <w:gridSpan w:val="3"/>
            <w:vAlign w:val="center"/>
          </w:tcPr>
          <w:p>
            <w:pPr>
              <w:jc w:val="center"/>
              <w:rPr>
                <w:rFonts w:hint="eastAsia" w:ascii="黑体" w:hAnsi="黑体" w:eastAsia="黑体" w:cs="黑体"/>
                <w:b w:val="0"/>
                <w:bCs w:val="0"/>
                <w:kern w:val="2"/>
                <w:sz w:val="28"/>
                <w:szCs w:val="28"/>
                <w:vertAlign w:val="baseline"/>
                <w:lang w:val="en-US" w:eastAsia="zh-CN" w:bidi="ar-SA"/>
              </w:rPr>
            </w:pPr>
            <w:r>
              <w:rPr>
                <w:rFonts w:hint="eastAsia" w:ascii="黑体" w:hAnsi="黑体" w:eastAsia="黑体" w:cs="黑体"/>
                <w:b w:val="0"/>
                <w:bCs w:val="0"/>
                <w:sz w:val="28"/>
                <w:szCs w:val="28"/>
                <w:lang w:val="en-US" w:eastAsia="zh-CN"/>
              </w:rPr>
              <w:t>合计金额：</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val="0"/>
                <w:bCs w:val="0"/>
                <w:sz w:val="28"/>
                <w:szCs w:val="28"/>
                <w:u w:val="none"/>
                <w:lang w:val="en-US" w:eastAsia="zh-CN"/>
              </w:rPr>
              <w:t>元；含</w:t>
            </w:r>
            <w:r>
              <w:rPr>
                <w:rFonts w:hint="eastAsia" w:ascii="黑体" w:hAnsi="黑体" w:eastAsia="黑体" w:cs="黑体"/>
                <w:b w:val="0"/>
                <w:bCs w:val="0"/>
                <w:sz w:val="28"/>
                <w:szCs w:val="28"/>
                <w:u w:val="single"/>
                <w:lang w:val="en-US" w:eastAsia="zh-CN"/>
              </w:rPr>
              <w:t xml:space="preserve">   </w:t>
            </w:r>
            <w:r>
              <w:rPr>
                <w:rFonts w:hint="eastAsia" w:ascii="黑体" w:hAnsi="黑体" w:eastAsia="黑体" w:cs="黑体"/>
                <w:b w:val="0"/>
                <w:bCs w:val="0"/>
                <w:sz w:val="28"/>
                <w:szCs w:val="28"/>
                <w:u w:val="none"/>
                <w:lang w:val="en-US" w:eastAsia="zh-CN"/>
              </w:rPr>
              <w:t>%增值税专发票</w:t>
            </w:r>
          </w:p>
        </w:tc>
        <w:tc>
          <w:tcPr>
            <w:tcW w:w="869" w:type="pct"/>
            <w:vAlign w:val="center"/>
          </w:tcPr>
          <w:p>
            <w:pPr>
              <w:jc w:val="center"/>
              <w:rPr>
                <w:rFonts w:hint="eastAsia" w:ascii="黑体" w:hAnsi="黑体" w:eastAsia="黑体" w:cs="黑体"/>
                <w:b w:val="0"/>
                <w:bCs w:val="0"/>
                <w:sz w:val="28"/>
                <w:szCs w:val="28"/>
                <w:lang w:val="en-US" w:eastAsia="zh-CN"/>
              </w:rPr>
            </w:pPr>
          </w:p>
        </w:tc>
      </w:tr>
    </w:tbl>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报价公司（盖章/签字）：               </w:t>
      </w:r>
    </w:p>
    <w:p>
      <w:pPr>
        <w:spacing w:line="480" w:lineRule="exact"/>
        <w:ind w:left="0" w:leftChars="0" w:firstLine="5154" w:firstLineChars="1841"/>
        <w:jc w:val="both"/>
        <w:rPr>
          <w:rFonts w:hint="eastAsia" w:ascii="黑体" w:hAnsi="黑体" w:eastAsia="黑体" w:cs="黑体"/>
          <w:bCs/>
          <w:sz w:val="28"/>
          <w:szCs w:val="28"/>
          <w:vertAlign w:val="baseline"/>
          <w:lang w:val="en-US" w:eastAsia="zh-CN"/>
        </w:rPr>
      </w:pPr>
      <w:r>
        <w:rPr>
          <w:rFonts w:hint="eastAsia" w:ascii="黑体" w:hAnsi="黑体" w:eastAsia="黑体" w:cs="黑体"/>
          <w:bCs/>
          <w:sz w:val="28"/>
          <w:szCs w:val="28"/>
          <w:vertAlign w:val="baseline"/>
          <w:lang w:val="en-US" w:eastAsia="zh-CN"/>
        </w:rPr>
        <w:t xml:space="preserve">联系电话：               </w:t>
      </w:r>
    </w:p>
    <w:p>
      <w:pPr>
        <w:spacing w:line="480" w:lineRule="exact"/>
        <w:ind w:firstLine="560"/>
        <w:jc w:val="center"/>
        <w:rPr>
          <w:rFonts w:hint="eastAsia" w:ascii="黑体" w:hAnsi="黑体" w:eastAsia="黑体" w:cs="黑体"/>
          <w:bCs/>
          <w:sz w:val="28"/>
          <w:szCs w:val="28"/>
          <w:lang w:val="en-US" w:eastAsia="zh-CN"/>
        </w:rPr>
      </w:pPr>
      <w:r>
        <w:rPr>
          <w:rFonts w:hint="eastAsia" w:ascii="黑体" w:hAnsi="黑体" w:eastAsia="黑体" w:cs="黑体"/>
          <w:bCs/>
          <w:sz w:val="28"/>
          <w:szCs w:val="28"/>
          <w:vertAlign w:val="baseline"/>
          <w:lang w:val="en-US" w:eastAsia="zh-CN"/>
        </w:rPr>
        <w:t xml:space="preserve">                               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eastAsia" w:ascii="黑体" w:hAnsi="黑体" w:eastAsia="黑体" w:cs="黑体"/>
          <w:bCs/>
          <w:sz w:val="28"/>
          <w:szCs w:val="28"/>
          <w:lang w:val="en-US" w:eastAsia="zh-CN"/>
        </w:rPr>
      </w:pPr>
    </w:p>
    <w:sectPr>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C4460F"/>
    <w:multiLevelType w:val="singleLevel"/>
    <w:tmpl w:val="86C4460F"/>
    <w:lvl w:ilvl="0" w:tentative="0">
      <w:start w:val="1"/>
      <w:numFmt w:val="decimal"/>
      <w:suff w:val="nothing"/>
      <w:lvlText w:val="%1、"/>
      <w:lvlJc w:val="left"/>
    </w:lvl>
  </w:abstractNum>
  <w:abstractNum w:abstractNumId="1">
    <w:nsid w:val="07CDA74F"/>
    <w:multiLevelType w:val="singleLevel"/>
    <w:tmpl w:val="07CDA74F"/>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BmZTI4YjQ1OGUyOTQ0N2RiYTgyMzM1OWNkNjM2OTIifQ=="/>
  </w:docVars>
  <w:rsids>
    <w:rsidRoot w:val="00000000"/>
    <w:rsid w:val="01E940B6"/>
    <w:rsid w:val="02BA5DEA"/>
    <w:rsid w:val="03BB2412"/>
    <w:rsid w:val="0B4B6651"/>
    <w:rsid w:val="123B44DB"/>
    <w:rsid w:val="148C0331"/>
    <w:rsid w:val="18CD45C3"/>
    <w:rsid w:val="1B1A3D72"/>
    <w:rsid w:val="21904E3C"/>
    <w:rsid w:val="22D1686C"/>
    <w:rsid w:val="23BE366C"/>
    <w:rsid w:val="25016986"/>
    <w:rsid w:val="26AB53B4"/>
    <w:rsid w:val="26CB7B8B"/>
    <w:rsid w:val="282547DB"/>
    <w:rsid w:val="28CA41A9"/>
    <w:rsid w:val="2A155F2B"/>
    <w:rsid w:val="2A4E4E38"/>
    <w:rsid w:val="2C142FCE"/>
    <w:rsid w:val="2C2179E7"/>
    <w:rsid w:val="2EC11F71"/>
    <w:rsid w:val="329872F1"/>
    <w:rsid w:val="340D0350"/>
    <w:rsid w:val="3627310D"/>
    <w:rsid w:val="39CD293D"/>
    <w:rsid w:val="3A75308C"/>
    <w:rsid w:val="3B0F003B"/>
    <w:rsid w:val="3D133366"/>
    <w:rsid w:val="3D8E21AA"/>
    <w:rsid w:val="3FD748AC"/>
    <w:rsid w:val="44337892"/>
    <w:rsid w:val="45737EAE"/>
    <w:rsid w:val="463C3085"/>
    <w:rsid w:val="46C25FF9"/>
    <w:rsid w:val="47187195"/>
    <w:rsid w:val="47C562E2"/>
    <w:rsid w:val="48E31EFC"/>
    <w:rsid w:val="4D79398B"/>
    <w:rsid w:val="4E892CB8"/>
    <w:rsid w:val="557821C2"/>
    <w:rsid w:val="57671164"/>
    <w:rsid w:val="59B90E43"/>
    <w:rsid w:val="59EE16C8"/>
    <w:rsid w:val="5AB1404C"/>
    <w:rsid w:val="5FE64881"/>
    <w:rsid w:val="5FEB0C76"/>
    <w:rsid w:val="60BC2EF7"/>
    <w:rsid w:val="648373FE"/>
    <w:rsid w:val="64950AF8"/>
    <w:rsid w:val="64FC5C8D"/>
    <w:rsid w:val="662C7566"/>
    <w:rsid w:val="674533D7"/>
    <w:rsid w:val="6747444C"/>
    <w:rsid w:val="69A946A8"/>
    <w:rsid w:val="69CB37D4"/>
    <w:rsid w:val="6B0609B5"/>
    <w:rsid w:val="6BE94F83"/>
    <w:rsid w:val="6E65699A"/>
    <w:rsid w:val="72D36C77"/>
    <w:rsid w:val="74955EF0"/>
    <w:rsid w:val="7557656C"/>
    <w:rsid w:val="79157DAD"/>
    <w:rsid w:val="7B4D0916"/>
    <w:rsid w:val="7C2101DE"/>
    <w:rsid w:val="7C2129DB"/>
    <w:rsid w:val="7DE20C82"/>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autoRedefine/>
    <w:unhideWhenUsed/>
    <w:qFormat/>
    <w:uiPriority w:val="1"/>
  </w:style>
  <w:style w:type="table" w:default="1" w:styleId="9">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autoRedefine/>
    <w:qFormat/>
    <w:uiPriority w:val="0"/>
    <w:pPr>
      <w:ind w:firstLine="420" w:firstLineChars="200"/>
    </w:pPr>
    <w:rPr>
      <w:rFonts w:ascii="Calibri" w:hAnsi="Calibri" w:eastAsia="仿宋"/>
      <w:sz w:val="32"/>
    </w:rPr>
  </w:style>
  <w:style w:type="paragraph" w:styleId="4">
    <w:name w:val="Body Text Indent"/>
    <w:basedOn w:val="1"/>
    <w:next w:val="3"/>
    <w:autoRedefine/>
    <w:qFormat/>
    <w:uiPriority w:val="0"/>
    <w:pPr>
      <w:spacing w:after="120"/>
      <w:ind w:left="420" w:leftChars="200"/>
    </w:pPr>
    <w:rPr>
      <w:rFonts w:eastAsia="宋体" w:cs="Times New Roman"/>
      <w:sz w:val="21"/>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autoRedefine/>
    <w:qFormat/>
    <w:uiPriority w:val="0"/>
    <w:rPr>
      <w:sz w:val="24"/>
    </w:rPr>
  </w:style>
  <w:style w:type="paragraph" w:styleId="8">
    <w:name w:val="Body Text First Indent 2"/>
    <w:basedOn w:val="4"/>
    <w:autoRedefine/>
    <w:qFormat/>
    <w:uiPriority w:val="0"/>
    <w:pPr>
      <w:ind w:firstLine="420" w:firstLineChars="200"/>
    </w:pPr>
    <w:rPr>
      <w:szCs w:val="24"/>
    </w:rPr>
  </w:style>
  <w:style w:type="table" w:styleId="10">
    <w:name w:val="Table Grid"/>
    <w:basedOn w:val="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autoRedefine/>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4</Pages>
  <Words>872</Words>
  <Characters>1014</Characters>
  <Lines>8</Lines>
  <Paragraphs>2</Paragraphs>
  <TotalTime>9</TotalTime>
  <ScaleCrop>false</ScaleCrop>
  <LinksUpToDate>false</LinksUpToDate>
  <CharactersWithSpaces>1146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开拓者</cp:lastModifiedBy>
  <cp:lastPrinted>2023-11-29T14:38:00Z</cp:lastPrinted>
  <dcterms:modified xsi:type="dcterms:W3CDTF">2024-01-24T01:47:25Z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77441A56323A40CCB2302080E5E5A5B0_13</vt:lpwstr>
  </property>
</Properties>
</file>