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lang w:eastAsia="zh-CN"/>
        </w:rPr>
        <w:t>会昌县文化艺术中心项目景观桥洪评报告询价发包挂网招标</w:t>
      </w:r>
      <w:r>
        <w:rPr>
          <w:rFonts w:hint="eastAsia" w:ascii="仿宋" w:hAnsi="仿宋" w:eastAsia="仿宋" w:cs="仿宋"/>
          <w:b/>
          <w:sz w:val="36"/>
          <w:szCs w:val="36"/>
          <w:u w:val="none"/>
        </w:rPr>
        <w:t>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会昌县恒达投资有限责任公司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会昌县文化艺术中心项目景观桥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会昌县文化艺术中心项目景观桥洪评报告编制及审批</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融资资金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中华人民共和国防洪法》第十一条编制防洪规划，应当遵循确保重点、兼顾一般，以及防汛和抗旱相结合、工程措施和非工程措施相结合的原则，充分考虑洪涝规律和上下游、左右岸的关系以及城区经济对防洪的要求，并与国土规划和土地利用总体规划相协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2024年1月18日至2024年1月23日下午3点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项目洪评报告编制并通过审批</w:t>
            </w:r>
            <w:r>
              <w:rPr>
                <w:rFonts w:hint="eastAsia" w:ascii="仿宋" w:hAnsi="仿宋" w:eastAsia="仿宋" w:cs="仿宋"/>
                <w:b w:val="0"/>
                <w:bCs w:val="0"/>
                <w:sz w:val="30"/>
                <w:szCs w:val="30"/>
                <w:vertAlign w:val="baseline"/>
                <w:lang w:val="en-US" w:eastAsia="zh-CN"/>
              </w:rPr>
              <w:t>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招标联系人：钟鹏  15070707530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开标时间为：2024年1月23日下午3:00，集团询价小组进行现场拆封各投标人报价</w:t>
            </w:r>
            <w:bookmarkStart w:id="1" w:name="_GoBack"/>
            <w:bookmarkEnd w:id="1"/>
            <w:r>
              <w:rPr>
                <w:rFonts w:hint="eastAsia" w:ascii="仿宋" w:hAnsi="仿宋" w:eastAsia="仿宋" w:cs="仿宋"/>
                <w:b w:val="0"/>
                <w:bCs w:val="0"/>
                <w:color w:val="000000"/>
                <w:sz w:val="30"/>
                <w:szCs w:val="30"/>
                <w:vertAlign w:val="baseline"/>
                <w:lang w:val="en-US" w:eastAsia="zh-CN"/>
              </w:rPr>
              <w:t>文件，审核各投标人资质，按总价最优惠原则确定服务机构。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1.1、投标价格为固定单价，投标单位报价后我公司即视为报价方在报价前已充分进行了现场踏勘、测量、风险评估及工期提前等所有风险。任何要求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1）需要具备</w:t>
      </w:r>
      <w:r>
        <w:rPr>
          <w:rFonts w:hint="eastAsia" w:ascii="仿宋" w:hAnsi="仿宋" w:eastAsia="仿宋" w:cs="仿宋"/>
          <w:b w:val="0"/>
          <w:bCs/>
          <w:color w:val="000000"/>
          <w:sz w:val="32"/>
          <w:szCs w:val="32"/>
          <w:lang w:eastAsia="zh-CN"/>
        </w:rPr>
        <w:t>编制洪评报告等</w:t>
      </w:r>
      <w:r>
        <w:rPr>
          <w:rFonts w:hint="eastAsia" w:ascii="仿宋_GB2312" w:hAnsi="仿宋_GB2312" w:eastAsia="仿宋_GB2312" w:cs="仿宋_GB2312"/>
          <w:b w:val="0"/>
          <w:bCs w:val="0"/>
          <w:sz w:val="32"/>
          <w:szCs w:val="32"/>
          <w:lang w:val="en-US" w:eastAsia="zh-CN"/>
        </w:rPr>
        <w:t>相关资质的单位。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2）提供公司主要管理及其直系亲属未在会昌县恒茂建设发展集团有限责任公司从业的承诺书（参照附件格式）。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1.6、中标公示3天后3个工作日内签订合同，签订合同后3天日内进场开展工作。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w:t>
      </w:r>
      <w:r>
        <w:rPr>
          <w:rFonts w:hint="eastAsia" w:ascii="仿宋_GB2312" w:hAnsi="仿宋_GB2312" w:eastAsia="仿宋_GB2312" w:cs="仿宋_GB2312"/>
          <w:b w:val="0"/>
          <w:bCs w:val="0"/>
          <w:sz w:val="32"/>
          <w:szCs w:val="32"/>
          <w:lang w:val="en-US" w:eastAsia="zh-CN"/>
        </w:rPr>
        <w:t>则上符合报价文件且在同等条件下总价最优惠的为中标单位，</w:t>
      </w:r>
      <w:r>
        <w:rPr>
          <w:rFonts w:hint="eastAsia" w:ascii="仿宋_GB2312" w:hAnsi="仿宋_GB2312" w:eastAsia="仿宋_GB2312" w:cs="仿宋_GB2312"/>
          <w:sz w:val="32"/>
          <w:szCs w:val="32"/>
          <w:lang w:val="en-US" w:eastAsia="zh-CN"/>
        </w:rPr>
        <w:t>由集团询价小组推选，最终报集团“三重一大”会议确定。</w:t>
      </w:r>
    </w:p>
    <w:p>
      <w:pPr>
        <w:numPr>
          <w:ilvl w:val="0"/>
          <w:numId w:val="0"/>
        </w:numPr>
        <w:ind w:firstLine="640" w:firstLineChars="200"/>
        <w:jc w:val="left"/>
        <w:rPr>
          <w:rFonts w:hint="default" w:ascii="仿宋_GB2312" w:hAnsi="仿宋_GB2312" w:eastAsia="仿宋_GB2312" w:cs="仿宋_GB2312"/>
          <w:sz w:val="32"/>
          <w:szCs w:val="32"/>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560" w:firstLineChars="200"/>
        <w:jc w:val="left"/>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开展项目景观桥洪评报告编制，并按相关法律法规完成洪评报告审批。</w:t>
      </w:r>
    </w:p>
    <w:p>
      <w:pPr>
        <w:numPr>
          <w:ilvl w:val="0"/>
          <w:numId w:val="0"/>
        </w:numPr>
        <w:ind w:firstLine="560" w:firstLineChars="200"/>
        <w:jc w:val="left"/>
        <w:rPr>
          <w:rFonts w:hint="default" w:ascii="仿宋" w:hAnsi="仿宋" w:eastAsia="仿宋" w:cs="仿宋"/>
          <w:sz w:val="28"/>
          <w:szCs w:val="28"/>
          <w:vertAlign w:val="baseline"/>
          <w:lang w:val="en-US" w:eastAsia="zh-CN"/>
        </w:rPr>
      </w:pP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00" w:firstLineChars="200"/>
        <w:jc w:val="left"/>
        <w:rPr>
          <w:rFonts w:hint="default" w:ascii="仿宋_GB2312" w:hAnsi="仿宋_GB2312" w:eastAsia="仿宋_GB2312" w:cs="仿宋_GB2312"/>
          <w:b w:val="0"/>
          <w:bCs w:val="0"/>
          <w:sz w:val="32"/>
          <w:szCs w:val="32"/>
          <w:lang w:val="en-US" w:eastAsia="zh-CN"/>
        </w:rPr>
      </w:pPr>
      <w:r>
        <w:rPr>
          <w:rFonts w:hint="eastAsia" w:ascii="仿宋" w:hAnsi="仿宋" w:eastAsia="仿宋" w:cs="仿宋"/>
          <w:b w:val="0"/>
          <w:bCs/>
          <w:sz w:val="30"/>
          <w:szCs w:val="30"/>
          <w:u w:val="none"/>
          <w:lang w:eastAsia="zh-CN"/>
        </w:rPr>
        <w:t>会昌县文化艺术中心项目总建筑面积</w:t>
      </w:r>
      <w:r>
        <w:rPr>
          <w:rFonts w:hint="eastAsia" w:ascii="仿宋" w:hAnsi="仿宋" w:eastAsia="仿宋" w:cs="仿宋"/>
          <w:b w:val="0"/>
          <w:bCs/>
          <w:sz w:val="30"/>
          <w:szCs w:val="30"/>
          <w:u w:val="none"/>
          <w:lang w:val="en-US" w:eastAsia="zh-CN"/>
        </w:rPr>
        <w:t>44109.91平方米，景观桥长度约30米</w:t>
      </w:r>
      <w:r>
        <w:rPr>
          <w:rFonts w:hint="eastAsia" w:ascii="仿宋_GB2312" w:hAnsi="仿宋_GB2312" w:eastAsia="仿宋_GB2312" w:cs="仿宋_GB2312"/>
          <w:b w:val="0"/>
          <w:bCs w:val="0"/>
          <w:sz w:val="32"/>
          <w:szCs w:val="32"/>
          <w:lang w:val="en-US" w:eastAsia="zh-CN"/>
        </w:rPr>
        <w:t>。</w:t>
      </w:r>
    </w:p>
    <w:p>
      <w:pPr>
        <w:numPr>
          <w:ilvl w:val="0"/>
          <w:numId w:val="0"/>
        </w:numPr>
        <w:jc w:val="left"/>
        <w:rPr>
          <w:rFonts w:hint="eastAsia" w:ascii="仿宋_GB2312" w:hAnsi="仿宋_GB2312" w:eastAsia="仿宋_GB2312" w:cs="仿宋_GB2312"/>
          <w:b w:val="0"/>
          <w:bCs w:val="0"/>
          <w:sz w:val="32"/>
          <w:szCs w:val="32"/>
          <w:lang w:val="en-US" w:eastAsia="zh-CN"/>
        </w:rPr>
      </w:pPr>
    </w:p>
    <w:p>
      <w:pPr>
        <w:numPr>
          <w:ilvl w:val="0"/>
          <w:numId w:val="2"/>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招标控制价</w:t>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483"/>
        <w:gridCol w:w="161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48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617"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08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2"/>
                <w:szCs w:val="22"/>
                <w:vertAlign w:val="baseline"/>
                <w:lang w:eastAsia="zh-CN"/>
              </w:rPr>
            </w:pPr>
            <w:r>
              <w:rPr>
                <w:rFonts w:hint="eastAsia" w:ascii="仿宋_GB2312" w:hAnsi="仿宋_GB2312" w:eastAsia="仿宋_GB2312" w:cs="仿宋_GB2312"/>
                <w:b w:val="0"/>
                <w:bCs w:val="0"/>
                <w:sz w:val="32"/>
                <w:szCs w:val="32"/>
                <w:lang w:val="en-US" w:eastAsia="zh-CN"/>
              </w:rPr>
              <w:t>会昌县文化艺术中心项目景观桥</w:t>
            </w:r>
          </w:p>
        </w:tc>
        <w:tc>
          <w:tcPr>
            <w:tcW w:w="1483" w:type="dxa"/>
            <w:vAlign w:val="center"/>
          </w:tcPr>
          <w:p>
            <w:pPr>
              <w:pStyle w:val="4"/>
              <w:ind w:left="0" w:leftChars="0" w:firstLine="0" w:firstLineChars="0"/>
              <w:jc w:val="center"/>
              <w:rPr>
                <w:rFonts w:hint="default" w:ascii="仿宋" w:hAnsi="仿宋" w:eastAsia="仿宋" w:cs="仿宋"/>
                <w:color w:val="FF0000"/>
                <w:sz w:val="22"/>
                <w:szCs w:val="22"/>
                <w:vertAlign w:val="baseline"/>
                <w:lang w:val="en-US" w:eastAsia="zh-CN"/>
              </w:rPr>
            </w:pPr>
            <w:r>
              <w:rPr>
                <w:rFonts w:hint="eastAsia" w:ascii="仿宋" w:hAnsi="仿宋" w:eastAsia="仿宋" w:cs="仿宋"/>
                <w:color w:val="auto"/>
                <w:sz w:val="22"/>
                <w:szCs w:val="22"/>
                <w:vertAlign w:val="baseline"/>
                <w:lang w:val="en-US" w:eastAsia="zh-CN"/>
              </w:rPr>
              <w:t>2.5</w:t>
            </w:r>
          </w:p>
        </w:tc>
        <w:tc>
          <w:tcPr>
            <w:tcW w:w="1617" w:type="dxa"/>
            <w:vAlign w:val="center"/>
          </w:tcPr>
          <w:p>
            <w:pPr>
              <w:pStyle w:val="4"/>
              <w:ind w:left="0" w:leftChars="0" w:firstLine="0" w:firstLineChars="0"/>
              <w:jc w:val="center"/>
              <w:rPr>
                <w:rFonts w:hint="eastAsia" w:ascii="仿宋" w:hAnsi="仿宋" w:eastAsia="仿宋" w:cs="仿宋"/>
                <w:sz w:val="22"/>
                <w:szCs w:val="22"/>
                <w:vertAlign w:val="baseline"/>
                <w:lang w:eastAsia="zh-CN"/>
              </w:rPr>
            </w:pPr>
            <w:r>
              <w:rPr>
                <w:rFonts w:hint="eastAsia" w:ascii="仿宋" w:hAnsi="仿宋" w:eastAsia="仿宋" w:cs="仿宋"/>
                <w:sz w:val="22"/>
                <w:szCs w:val="22"/>
                <w:vertAlign w:val="baseline"/>
                <w:lang w:eastAsia="zh-CN"/>
              </w:rPr>
              <w:t>万元</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p>
        </w:tc>
        <w:tc>
          <w:tcPr>
            <w:tcW w:w="1483" w:type="dxa"/>
            <w:vAlign w:val="center"/>
          </w:tcPr>
          <w:p>
            <w:pPr>
              <w:pStyle w:val="4"/>
              <w:ind w:left="0" w:leftChars="0" w:firstLine="0" w:firstLineChars="0"/>
              <w:jc w:val="both"/>
              <w:rPr>
                <w:rFonts w:hint="default" w:ascii="仿宋" w:hAnsi="仿宋" w:eastAsia="仿宋" w:cs="仿宋"/>
                <w:color w:val="000000"/>
                <w:sz w:val="22"/>
                <w:szCs w:val="22"/>
                <w:vertAlign w:val="baseline"/>
                <w:lang w:val="en-US" w:eastAsia="zh-CN"/>
              </w:rPr>
            </w:pPr>
          </w:p>
        </w:tc>
        <w:tc>
          <w:tcPr>
            <w:tcW w:w="1617"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c>
          <w:tcPr>
            <w:tcW w:w="2084" w:type="dxa"/>
            <w:vAlign w:val="center"/>
          </w:tcPr>
          <w:p>
            <w:pPr>
              <w:pStyle w:val="4"/>
              <w:ind w:left="0" w:leftChars="0" w:firstLine="0" w:firstLineChars="0"/>
              <w:jc w:val="both"/>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p>
        </w:tc>
        <w:tc>
          <w:tcPr>
            <w:tcW w:w="1483" w:type="dxa"/>
            <w:vAlign w:val="center"/>
          </w:tcPr>
          <w:p>
            <w:pPr>
              <w:pStyle w:val="4"/>
              <w:ind w:left="0" w:leftChars="0" w:firstLine="0" w:firstLineChars="0"/>
              <w:jc w:val="both"/>
              <w:rPr>
                <w:rFonts w:hint="default" w:ascii="仿宋" w:hAnsi="仿宋" w:eastAsia="仿宋" w:cs="仿宋"/>
                <w:color w:val="000000"/>
                <w:sz w:val="22"/>
                <w:szCs w:val="22"/>
                <w:vertAlign w:val="baseline"/>
                <w:lang w:val="en-US" w:eastAsia="zh-CN"/>
              </w:rPr>
            </w:pPr>
          </w:p>
        </w:tc>
        <w:tc>
          <w:tcPr>
            <w:tcW w:w="1617" w:type="dxa"/>
            <w:vAlign w:val="center"/>
          </w:tcPr>
          <w:p>
            <w:pPr>
              <w:pStyle w:val="4"/>
              <w:ind w:left="0" w:leftChars="0" w:firstLine="0" w:firstLineChars="0"/>
              <w:jc w:val="both"/>
              <w:rPr>
                <w:rFonts w:hint="eastAsia" w:ascii="仿宋" w:hAnsi="仿宋" w:eastAsia="仿宋" w:cs="仿宋"/>
                <w:color w:val="000000"/>
                <w:sz w:val="22"/>
                <w:szCs w:val="22"/>
                <w:vertAlign w:val="baseline"/>
                <w:lang w:val="en-US" w:eastAsia="zh-CN"/>
              </w:rPr>
            </w:pPr>
          </w:p>
        </w:tc>
        <w:tc>
          <w:tcPr>
            <w:tcW w:w="2084" w:type="dxa"/>
            <w:vAlign w:val="center"/>
          </w:tcPr>
          <w:p>
            <w:pPr>
              <w:pStyle w:val="4"/>
              <w:ind w:left="0" w:leftChars="0" w:firstLine="0" w:firstLineChars="0"/>
              <w:jc w:val="both"/>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p>
        </w:tc>
        <w:tc>
          <w:tcPr>
            <w:tcW w:w="1483" w:type="dxa"/>
            <w:vAlign w:val="center"/>
          </w:tcPr>
          <w:p>
            <w:pPr>
              <w:pStyle w:val="4"/>
              <w:ind w:left="0" w:leftChars="0" w:firstLine="0" w:firstLineChars="0"/>
              <w:jc w:val="both"/>
              <w:rPr>
                <w:rFonts w:hint="default" w:ascii="仿宋" w:hAnsi="仿宋" w:eastAsia="仿宋" w:cs="仿宋"/>
                <w:color w:val="000000"/>
                <w:sz w:val="22"/>
                <w:szCs w:val="22"/>
                <w:vertAlign w:val="baseline"/>
                <w:lang w:val="en-US" w:eastAsia="zh-CN"/>
              </w:rPr>
            </w:pPr>
          </w:p>
        </w:tc>
        <w:tc>
          <w:tcPr>
            <w:tcW w:w="1617" w:type="dxa"/>
            <w:vAlign w:val="center"/>
          </w:tcPr>
          <w:p>
            <w:pPr>
              <w:pStyle w:val="4"/>
              <w:ind w:left="0" w:leftChars="0" w:firstLine="0" w:firstLineChars="0"/>
              <w:jc w:val="both"/>
              <w:rPr>
                <w:rFonts w:hint="eastAsia" w:ascii="仿宋" w:hAnsi="仿宋" w:eastAsia="仿宋" w:cs="仿宋"/>
                <w:color w:val="000000"/>
                <w:sz w:val="22"/>
                <w:szCs w:val="22"/>
                <w:vertAlign w:val="baseline"/>
                <w:lang w:val="en-US" w:eastAsia="zh-CN"/>
              </w:rPr>
            </w:pPr>
          </w:p>
        </w:tc>
        <w:tc>
          <w:tcPr>
            <w:tcW w:w="2084" w:type="dxa"/>
            <w:vAlign w:val="center"/>
          </w:tcPr>
          <w:p>
            <w:pPr>
              <w:pStyle w:val="4"/>
              <w:ind w:left="0" w:leftChars="0" w:firstLine="0" w:firstLineChars="0"/>
              <w:jc w:val="both"/>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p>
        </w:tc>
        <w:tc>
          <w:tcPr>
            <w:tcW w:w="1483" w:type="dxa"/>
            <w:vAlign w:val="center"/>
          </w:tcPr>
          <w:p>
            <w:pPr>
              <w:pStyle w:val="4"/>
              <w:ind w:left="0" w:leftChars="0" w:firstLine="0" w:firstLineChars="0"/>
              <w:jc w:val="both"/>
              <w:rPr>
                <w:rFonts w:hint="default" w:ascii="仿宋" w:hAnsi="仿宋" w:eastAsia="仿宋" w:cs="仿宋"/>
                <w:color w:val="000000"/>
                <w:sz w:val="22"/>
                <w:szCs w:val="22"/>
                <w:vertAlign w:val="baseline"/>
                <w:lang w:val="en-US" w:eastAsia="zh-CN"/>
              </w:rPr>
            </w:pPr>
          </w:p>
        </w:tc>
        <w:tc>
          <w:tcPr>
            <w:tcW w:w="1617" w:type="dxa"/>
            <w:vAlign w:val="center"/>
          </w:tcPr>
          <w:p>
            <w:pPr>
              <w:pStyle w:val="4"/>
              <w:ind w:left="0" w:leftChars="0" w:firstLine="0" w:firstLineChars="0"/>
              <w:jc w:val="both"/>
              <w:rPr>
                <w:rFonts w:hint="eastAsia" w:ascii="仿宋" w:hAnsi="仿宋" w:eastAsia="仿宋" w:cs="仿宋"/>
                <w:color w:val="000000"/>
                <w:sz w:val="22"/>
                <w:szCs w:val="22"/>
                <w:vertAlign w:val="baseline"/>
                <w:lang w:val="en-US" w:eastAsia="zh-CN"/>
              </w:rPr>
            </w:pPr>
          </w:p>
        </w:tc>
        <w:tc>
          <w:tcPr>
            <w:tcW w:w="2084" w:type="dxa"/>
            <w:vAlign w:val="center"/>
          </w:tcPr>
          <w:p>
            <w:pPr>
              <w:pStyle w:val="4"/>
              <w:ind w:left="0" w:leftChars="0" w:firstLine="0" w:firstLineChars="0"/>
              <w:jc w:val="both"/>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p>
        </w:tc>
        <w:tc>
          <w:tcPr>
            <w:tcW w:w="1617" w:type="dxa"/>
            <w:vAlign w:val="center"/>
          </w:tcPr>
          <w:p>
            <w:pPr>
              <w:pStyle w:val="4"/>
              <w:ind w:left="0" w:leftChars="0" w:firstLine="0" w:firstLineChars="0"/>
              <w:jc w:val="both"/>
              <w:rPr>
                <w:rFonts w:hint="eastAsia" w:ascii="仿宋" w:hAnsi="仿宋" w:eastAsia="仿宋" w:cs="仿宋"/>
                <w:color w:val="000000"/>
                <w:sz w:val="22"/>
                <w:szCs w:val="22"/>
                <w:vertAlign w:val="baseline"/>
                <w:lang w:val="en-US" w:eastAsia="zh-CN"/>
              </w:rPr>
            </w:pPr>
          </w:p>
        </w:tc>
        <w:tc>
          <w:tcPr>
            <w:tcW w:w="2084" w:type="dxa"/>
            <w:vAlign w:val="center"/>
          </w:tcPr>
          <w:p>
            <w:pPr>
              <w:pStyle w:val="4"/>
              <w:ind w:left="0" w:leftChars="0" w:firstLine="0" w:firstLineChars="0"/>
              <w:jc w:val="both"/>
              <w:rPr>
                <w:rFonts w:hint="eastAsia" w:ascii="仿宋" w:hAnsi="仿宋" w:eastAsia="仿宋" w:cs="仿宋"/>
                <w:b w:val="0"/>
                <w:bCs w:val="0"/>
                <w:sz w:val="22"/>
                <w:szCs w:val="22"/>
                <w:vertAlign w:val="baseline"/>
                <w:lang w:val="en-US" w:eastAsia="zh-CN"/>
              </w:rPr>
            </w:pPr>
          </w:p>
        </w:tc>
      </w:tr>
    </w:tbl>
    <w:p>
      <w:pPr>
        <w:widowControl/>
        <w:spacing w:line="500" w:lineRule="exact"/>
        <w:jc w:val="both"/>
        <w:rPr>
          <w:rFonts w:hint="eastAsia" w:ascii="宋体" w:hAnsi="宋体" w:cs="宋体"/>
          <w:b w:val="0"/>
          <w:bCs/>
          <w:color w:val="000000"/>
          <w:kern w:val="0"/>
          <w:sz w:val="32"/>
          <w:szCs w:val="32"/>
          <w:lang w:val="en-US" w:eastAsia="zh-CN"/>
        </w:rPr>
      </w:pPr>
    </w:p>
    <w:p>
      <w:pPr>
        <w:widowControl/>
        <w:spacing w:line="500" w:lineRule="exact"/>
        <w:jc w:val="both"/>
        <w:rPr>
          <w:rFonts w:hint="eastAsia" w:ascii="宋体" w:hAnsi="宋体" w:cs="宋体"/>
          <w:b w:val="0"/>
          <w:bCs/>
          <w:color w:val="000000"/>
          <w:kern w:val="0"/>
          <w:sz w:val="32"/>
          <w:szCs w:val="32"/>
          <w:lang w:val="en-US" w:eastAsia="zh-CN"/>
        </w:rPr>
      </w:pPr>
      <w:r>
        <w:rPr>
          <w:rFonts w:hint="eastAsia" w:ascii="宋体" w:hAnsi="宋体" w:cs="宋体"/>
          <w:b w:val="0"/>
          <w:bCs/>
          <w:color w:val="000000"/>
          <w:kern w:val="0"/>
          <w:sz w:val="32"/>
          <w:szCs w:val="32"/>
          <w:lang w:val="en-US" w:eastAsia="zh-CN"/>
        </w:rPr>
        <w:t>注意事项：投标报价超出控制价的视为无效投标。</w:t>
      </w:r>
    </w:p>
    <w:p>
      <w:pPr>
        <w:ind w:firstLine="643" w:firstLineChars="200"/>
        <w:rPr>
          <w:rFonts w:hint="default" w:ascii="宋体" w:hAnsi="宋体" w:cs="宋体"/>
          <w:b w:val="0"/>
          <w:bCs/>
          <w:color w:val="000000"/>
          <w:kern w:val="0"/>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_GB2312" w:hAnsi="仿宋_GB2312" w:eastAsia="仿宋_GB2312" w:cs="仿宋_GB2312"/>
                <w:b w:val="0"/>
                <w:bCs w:val="0"/>
                <w:sz w:val="32"/>
                <w:szCs w:val="32"/>
                <w:lang w:val="en-US" w:eastAsia="zh-CN"/>
              </w:rPr>
              <w:t>会昌县文化艺术中心项目景观桥</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洪评报告编制及审批</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我公司已在报价前已充分进行了现场踏勘、测量、风险评估、工期提前等所有风险，上述报价包含</w:t>
      </w:r>
      <w:r>
        <w:rPr>
          <w:rFonts w:hint="eastAsia" w:ascii="仿宋" w:hAnsi="仿宋" w:eastAsia="仿宋" w:cs="仿宋"/>
          <w:b w:val="0"/>
          <w:bCs/>
          <w:color w:val="000000"/>
          <w:sz w:val="32"/>
          <w:szCs w:val="32"/>
          <w:lang w:eastAsia="zh-CN"/>
        </w:rPr>
        <w:t>项目洪水影响评价</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2024年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abstractNum w:abstractNumId="1">
    <w:nsid w:val="60CE400C"/>
    <w:multiLevelType w:val="singleLevel"/>
    <w:tmpl w:val="60CE400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1NWFiZGYyNDZhOWIyMGEzZGZmN2I1ZThiMGM4NTgifQ=="/>
  </w:docVars>
  <w:rsids>
    <w:rsidRoot w:val="00000000"/>
    <w:rsid w:val="0394658D"/>
    <w:rsid w:val="09D94AF6"/>
    <w:rsid w:val="0B2D1730"/>
    <w:rsid w:val="0C2357FD"/>
    <w:rsid w:val="0F6B4008"/>
    <w:rsid w:val="12DD7EA1"/>
    <w:rsid w:val="140D6614"/>
    <w:rsid w:val="1BFB1712"/>
    <w:rsid w:val="1CBD66FD"/>
    <w:rsid w:val="1DF61EC7"/>
    <w:rsid w:val="1F5D2BD2"/>
    <w:rsid w:val="22D374DC"/>
    <w:rsid w:val="29B10D91"/>
    <w:rsid w:val="2FDA2060"/>
    <w:rsid w:val="2FF46872"/>
    <w:rsid w:val="317B4234"/>
    <w:rsid w:val="349F69BC"/>
    <w:rsid w:val="41E77C61"/>
    <w:rsid w:val="4553644D"/>
    <w:rsid w:val="477517FF"/>
    <w:rsid w:val="4795043A"/>
    <w:rsid w:val="47C03791"/>
    <w:rsid w:val="47F4274D"/>
    <w:rsid w:val="4D46449D"/>
    <w:rsid w:val="4DE16ADC"/>
    <w:rsid w:val="62E8137B"/>
    <w:rsid w:val="6A8C3777"/>
    <w:rsid w:val="6FBD756E"/>
    <w:rsid w:val="733F3C8D"/>
    <w:rsid w:val="78E24330"/>
    <w:rsid w:val="79EE1488"/>
    <w:rsid w:val="7D3923AB"/>
    <w:rsid w:val="7DD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autoRedefine/>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autoRedefine/>
    <w:qFormat/>
    <w:uiPriority w:val="0"/>
  </w:style>
  <w:style w:type="table" w:default="1" w:styleId="6">
    <w:name w:val="Normal Table"/>
    <w:autoRedefine/>
    <w:qFormat/>
    <w:uiPriority w:val="0"/>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autoRedefine/>
    <w:qFormat/>
    <w:uiPriority w:val="0"/>
    <w:pPr>
      <w:ind w:firstLine="420" w:firstLineChars="200"/>
    </w:pPr>
    <w:rPr>
      <w:szCs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autoRedefine/>
    <w:qFormat/>
    <w:uiPriority w:val="0"/>
    <w:rPr>
      <w:i/>
    </w:rPr>
  </w:style>
  <w:style w:type="character" w:styleId="10">
    <w:name w:val="Hyperlink"/>
    <w:autoRedefine/>
    <w:qFormat/>
    <w:uiPriority w:val="0"/>
    <w:rPr>
      <w:color w:val="0000FF"/>
      <w:u w:val="single"/>
    </w:rPr>
  </w:style>
  <w:style w:type="character" w:customStyle="1" w:styleId="11">
    <w:name w:val="font41"/>
    <w:basedOn w:val="8"/>
    <w:autoRedefine/>
    <w:qFormat/>
    <w:uiPriority w:val="0"/>
    <w:rPr>
      <w:rFonts w:hint="eastAsia" w:ascii="宋体" w:hAnsi="宋体" w:eastAsia="宋体" w:cs="宋体"/>
      <w:color w:val="000000"/>
      <w:sz w:val="18"/>
      <w:szCs w:val="18"/>
      <w:u w:val="none"/>
    </w:rPr>
  </w:style>
  <w:style w:type="character" w:customStyle="1" w:styleId="12">
    <w:name w:val="font31"/>
    <w:basedOn w:val="8"/>
    <w:autoRedefine/>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1761</Words>
  <Characters>1882</Characters>
  <Paragraphs>155</Paragraphs>
  <TotalTime>4</TotalTime>
  <ScaleCrop>false</ScaleCrop>
  <LinksUpToDate>false</LinksUpToDate>
  <CharactersWithSpaces>1990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2023-07-13T08:27:00Z</cp:lastPrinted>
  <dcterms:modified xsi:type="dcterms:W3CDTF">2024-01-17T09:21:51Z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D5686C311FAE457A99D700CBCB49C080</vt:lpwstr>
  </property>
</Properties>
</file>