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ascii="黑体" w:hAnsi="黑体" w:eastAsia="黑体" w:cs="黑体"/>
          <w:sz w:val="44"/>
          <w:szCs w:val="44"/>
        </w:rPr>
      </w:pPr>
      <w:r>
        <w:rPr>
          <w:rFonts w:hint="eastAsia" w:ascii="黑体" w:hAnsi="黑体" w:eastAsia="黑体" w:cs="黑体"/>
          <w:sz w:val="44"/>
          <w:szCs w:val="44"/>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eastAsia="zh-CN"/>
        </w:rPr>
        <w:t>因</w:t>
      </w:r>
      <w:r>
        <w:rPr>
          <w:rFonts w:hint="eastAsia" w:ascii="黑体" w:hAnsi="黑体" w:eastAsia="黑体" w:cs="黑体"/>
          <w:sz w:val="28"/>
          <w:szCs w:val="28"/>
          <w:lang w:val="en-US" w:eastAsia="zh-CN"/>
        </w:rPr>
        <w:t>会昌县麻州镇冷链物流中心建设项目</w:t>
      </w:r>
      <w:r>
        <w:rPr>
          <w:rFonts w:hint="eastAsia" w:ascii="黑体" w:hAnsi="黑体" w:eastAsia="黑体" w:cs="黑体"/>
          <w:sz w:val="28"/>
          <w:szCs w:val="28"/>
          <w:lang w:eastAsia="zh-CN"/>
        </w:rPr>
        <w:t>需采购集装箱式板房</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有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报价截止时间为2024年1月12日18时。</w:t>
      </w:r>
    </w:p>
    <w:p>
      <w:pPr>
        <w:numPr>
          <w:ilvl w:val="0"/>
          <w:numId w:val="1"/>
        </w:num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主要建设内容有：</w:t>
      </w:r>
    </w:p>
    <w:p>
      <w:pPr>
        <w:pStyle w:val="2"/>
        <w:ind w:left="0" w:leftChars="0" w:firstLine="570" w:firstLineChars="200"/>
        <w:rPr>
          <w:rFonts w:hint="eastAsia" w:ascii="黑体" w:hAnsi="黑体" w:eastAsia="黑体" w:cs="黑体"/>
          <w:kern w:val="2"/>
          <w:sz w:val="28"/>
          <w:szCs w:val="28"/>
          <w:lang w:val="en-US" w:eastAsia="zh-CN" w:bidi="ar-SA"/>
        </w:rPr>
      </w:pPr>
      <w:r>
        <w:rPr>
          <w:rFonts w:ascii="黑体" w:hAnsi="宋体" w:eastAsia="黑体" w:cs="黑体"/>
          <w:i w:val="0"/>
          <w:iCs w:val="0"/>
          <w:caps w:val="0"/>
          <w:color w:val="000000"/>
          <w:spacing w:val="0"/>
          <w:sz w:val="28"/>
          <w:szCs w:val="28"/>
        </w:rPr>
        <w:t>24套集装箱式板房，配套电路、电灯、插座等</w:t>
      </w:r>
      <w:r>
        <w:rPr>
          <w:rFonts w:hint="eastAsia" w:ascii="黑体" w:hAnsi="黑体" w:eastAsia="黑体" w:cs="黑体"/>
          <w:kern w:val="2"/>
          <w:sz w:val="28"/>
          <w:szCs w:val="28"/>
          <w:lang w:val="en-US" w:eastAsia="zh-CN" w:bidi="ar-SA"/>
        </w:rPr>
        <w:t>。</w:t>
      </w:r>
    </w:p>
    <w:p>
      <w:pPr>
        <w:pStyle w:val="2"/>
        <w:numPr>
          <w:ilvl w:val="0"/>
          <w:numId w:val="1"/>
        </w:numPr>
        <w:ind w:left="0" w:leftChars="0" w:firstLine="560" w:firstLine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工程款支付</w:t>
      </w:r>
    </w:p>
    <w:p>
      <w:pPr>
        <w:pStyle w:val="2"/>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集装箱式板房安装完成后按现场实际经甲方确认供货数量70%支付货款。剩余30%货款3个月内无质量问题无息支付。。</w:t>
      </w:r>
    </w:p>
    <w:p>
      <w:pP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br w:type="page"/>
      </w:r>
    </w:p>
    <w:p>
      <w:pPr>
        <w:numPr>
          <w:ilvl w:val="0"/>
          <w:numId w:val="0"/>
        </w:numPr>
        <w:spacing w:line="480" w:lineRule="exact"/>
        <w:ind w:left="630" w:left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pStyle w:val="2"/>
        <w:numPr>
          <w:ilvl w:val="0"/>
          <w:numId w:val="0"/>
        </w:numPr>
        <w:ind w:leftChars="400"/>
        <w:jc w:val="center"/>
        <w:rPr>
          <w:rFonts w:hint="eastAsia" w:ascii="黑体" w:hAnsi="黑体" w:eastAsia="黑体" w:cs="黑体"/>
          <w:bCs/>
          <w:sz w:val="28"/>
          <w:szCs w:val="28"/>
          <w:lang w:eastAsia="zh-CN"/>
        </w:rPr>
      </w:pPr>
      <w:r>
        <w:rPr>
          <w:rFonts w:hint="eastAsia" w:ascii="黑体" w:hAnsi="黑体" w:eastAsia="黑体" w:cs="黑体"/>
          <w:sz w:val="28"/>
          <w:szCs w:val="28"/>
          <w:lang w:val="en-US" w:eastAsia="zh-CN"/>
        </w:rPr>
        <w:t>工程清单</w:t>
      </w:r>
    </w:p>
    <w:tbl>
      <w:tblPr>
        <w:tblStyle w:val="10"/>
        <w:tblpPr w:leftFromText="180" w:rightFromText="180" w:vertAnchor="page" w:horzAnchor="page" w:tblpX="1540" w:tblpY="2880"/>
        <w:tblOverlap w:val="never"/>
        <w:tblW w:w="516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0"/>
        <w:gridCol w:w="2175"/>
        <w:gridCol w:w="1635"/>
        <w:gridCol w:w="825"/>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1192" w:type="pct"/>
            <w:vAlign w:val="center"/>
          </w:tcPr>
          <w:p>
            <w:pPr>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名称</w:t>
            </w:r>
          </w:p>
        </w:tc>
        <w:tc>
          <w:tcPr>
            <w:tcW w:w="1235" w:type="pct"/>
            <w:vAlign w:val="center"/>
          </w:tcPr>
          <w:p>
            <w:pPr>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规格</w:t>
            </w:r>
          </w:p>
        </w:tc>
        <w:tc>
          <w:tcPr>
            <w:tcW w:w="928" w:type="pct"/>
            <w:vAlign w:val="center"/>
          </w:tcPr>
          <w:p>
            <w:pPr>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暂定工程量</w:t>
            </w:r>
          </w:p>
        </w:tc>
        <w:tc>
          <w:tcPr>
            <w:tcW w:w="468" w:type="pct"/>
            <w:vAlign w:val="center"/>
          </w:tcPr>
          <w:p>
            <w:pPr>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单位</w:t>
            </w:r>
          </w:p>
        </w:tc>
        <w:tc>
          <w:tcPr>
            <w:tcW w:w="1175" w:type="pct"/>
            <w:vAlign w:val="center"/>
          </w:tcPr>
          <w:p>
            <w:pPr>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192" w:type="pct"/>
            <w:vAlign w:val="center"/>
          </w:tcPr>
          <w:p>
            <w:pPr>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val="en-US" w:eastAsia="zh-CN"/>
              </w:rPr>
              <w:t>集装箱式板房一层</w:t>
            </w:r>
          </w:p>
        </w:tc>
        <w:tc>
          <w:tcPr>
            <w:tcW w:w="1235" w:type="pct"/>
            <w:vAlign w:val="center"/>
          </w:tcPr>
          <w:p>
            <w:pPr>
              <w:jc w:val="center"/>
              <w:rPr>
                <w:rFonts w:hint="default" w:ascii="黑体" w:hAnsi="黑体" w:eastAsia="黑体" w:cs="黑体"/>
                <w:sz w:val="24"/>
                <w:szCs w:val="24"/>
                <w:vertAlign w:val="baseline"/>
                <w:lang w:val="en-US" w:eastAsia="zh-CN"/>
              </w:rPr>
            </w:pPr>
            <w:r>
              <w:rPr>
                <w:rFonts w:hint="eastAsia" w:ascii="黑体" w:hAnsi="黑体" w:eastAsia="黑体" w:cs="黑体"/>
                <w:kern w:val="2"/>
                <w:sz w:val="24"/>
                <w:szCs w:val="24"/>
                <w:lang w:val="en-US" w:eastAsia="zh-CN" w:bidi="ar-SA"/>
              </w:rPr>
              <w:t>3m*6m*2.8m，配套</w:t>
            </w:r>
            <w:bookmarkStart w:id="0" w:name="_GoBack"/>
            <w:bookmarkEnd w:id="0"/>
            <w:r>
              <w:rPr>
                <w:rFonts w:hint="eastAsia" w:ascii="黑体" w:hAnsi="黑体" w:eastAsia="黑体" w:cs="黑体"/>
                <w:kern w:val="2"/>
                <w:sz w:val="24"/>
                <w:szCs w:val="24"/>
                <w:lang w:val="en-US" w:eastAsia="zh-CN" w:bidi="ar-SA"/>
              </w:rPr>
              <w:t>电灯、插座等</w:t>
            </w:r>
          </w:p>
        </w:tc>
        <w:tc>
          <w:tcPr>
            <w:tcW w:w="928" w:type="pct"/>
            <w:vAlign w:val="center"/>
          </w:tcPr>
          <w:p>
            <w:pPr>
              <w:jc w:val="center"/>
              <w:rPr>
                <w:rFonts w:hint="default"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12</w:t>
            </w:r>
          </w:p>
        </w:tc>
        <w:tc>
          <w:tcPr>
            <w:tcW w:w="468" w:type="pct"/>
            <w:vAlign w:val="center"/>
          </w:tcPr>
          <w:p>
            <w:pPr>
              <w:jc w:val="center"/>
              <w:rPr>
                <w:rFonts w:hint="default"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套</w:t>
            </w:r>
          </w:p>
        </w:tc>
        <w:tc>
          <w:tcPr>
            <w:tcW w:w="1175" w:type="pct"/>
            <w:vMerge w:val="restart"/>
            <w:vAlign w:val="center"/>
          </w:tcPr>
          <w:p>
            <w:pPr>
              <w:jc w:val="both"/>
              <w:rPr>
                <w:rFonts w:hint="eastAsia" w:ascii="黑体" w:hAnsi="黑体" w:eastAsia="黑体" w:cs="黑体"/>
                <w:kern w:val="2"/>
                <w:sz w:val="24"/>
                <w:szCs w:val="24"/>
                <w:vertAlign w:val="baseline"/>
                <w:lang w:val="en-US" w:eastAsia="zh-CN" w:bidi="ar-SA"/>
              </w:rPr>
            </w:pPr>
            <w:r>
              <w:rPr>
                <w:rFonts w:hint="eastAsia" w:ascii="黑体" w:hAnsi="黑体" w:eastAsia="黑体" w:cs="黑体"/>
                <w:kern w:val="2"/>
                <w:sz w:val="24"/>
                <w:szCs w:val="24"/>
                <w:vertAlign w:val="baseline"/>
                <w:lang w:val="en-US" w:eastAsia="zh-CN" w:bidi="ar-SA"/>
              </w:rPr>
              <w:t>包运，包安装。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192" w:type="pct"/>
            <w:vAlign w:val="center"/>
          </w:tcPr>
          <w:p>
            <w:pPr>
              <w:jc w:val="center"/>
              <w:rPr>
                <w:rFonts w:hint="eastAsia" w:ascii="黑体" w:hAnsi="黑体" w:eastAsia="黑体" w:cs="黑体"/>
                <w:kern w:val="2"/>
                <w:sz w:val="24"/>
                <w:szCs w:val="24"/>
                <w:lang w:val="en-US" w:eastAsia="zh-CN" w:bidi="ar-SA"/>
              </w:rPr>
            </w:pPr>
            <w:r>
              <w:rPr>
                <w:rFonts w:hint="eastAsia" w:ascii="黑体" w:hAnsi="黑体" w:eastAsia="黑体" w:cs="黑体"/>
                <w:sz w:val="24"/>
                <w:szCs w:val="24"/>
                <w:vertAlign w:val="baseline"/>
                <w:lang w:val="en-US" w:eastAsia="zh-CN"/>
              </w:rPr>
              <w:t>集装箱式板房二层</w:t>
            </w:r>
          </w:p>
        </w:tc>
        <w:tc>
          <w:tcPr>
            <w:tcW w:w="1235" w:type="pct"/>
            <w:vAlign w:val="center"/>
          </w:tcPr>
          <w:p>
            <w:pPr>
              <w:jc w:val="center"/>
              <w:rPr>
                <w:rFonts w:hint="default" w:ascii="黑体" w:hAnsi="黑体" w:eastAsia="黑体" w:cs="黑体"/>
                <w:kern w:val="2"/>
                <w:sz w:val="24"/>
                <w:szCs w:val="24"/>
                <w:lang w:val="en-US" w:eastAsia="zh-CN" w:bidi="ar-SA"/>
              </w:rPr>
            </w:pPr>
            <w:r>
              <w:rPr>
                <w:rFonts w:hint="eastAsia" w:ascii="黑体" w:hAnsi="黑体" w:eastAsia="黑体" w:cs="黑体"/>
                <w:kern w:val="2"/>
                <w:sz w:val="24"/>
                <w:szCs w:val="24"/>
                <w:lang w:val="en-US" w:eastAsia="zh-CN" w:bidi="ar-SA"/>
              </w:rPr>
              <w:t>3m*6m*2.8m，配套电灯、插座等。含走廊雨棚</w:t>
            </w:r>
          </w:p>
        </w:tc>
        <w:tc>
          <w:tcPr>
            <w:tcW w:w="928" w:type="pct"/>
            <w:vAlign w:val="center"/>
          </w:tcPr>
          <w:p>
            <w:pPr>
              <w:jc w:val="center"/>
              <w:rPr>
                <w:rFonts w:hint="default"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12</w:t>
            </w:r>
          </w:p>
        </w:tc>
        <w:tc>
          <w:tcPr>
            <w:tcW w:w="468" w:type="pct"/>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套</w:t>
            </w:r>
          </w:p>
        </w:tc>
        <w:tc>
          <w:tcPr>
            <w:tcW w:w="1175" w:type="pct"/>
            <w:vMerge w:val="continue"/>
            <w:tcBorders/>
            <w:vAlign w:val="center"/>
          </w:tcPr>
          <w:p>
            <w:pPr>
              <w:jc w:val="center"/>
              <w:rPr>
                <w:rFonts w:hint="eastAsia" w:ascii="黑体" w:hAnsi="黑体" w:eastAsia="黑体" w:cs="黑体"/>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192" w:type="pct"/>
            <w:vAlign w:val="center"/>
          </w:tcPr>
          <w:p>
            <w:pPr>
              <w:jc w:val="center"/>
              <w:rPr>
                <w:rFonts w:hint="eastAsia" w:ascii="黑体" w:hAnsi="黑体" w:eastAsia="黑体" w:cs="黑体"/>
                <w:kern w:val="2"/>
                <w:sz w:val="24"/>
                <w:szCs w:val="24"/>
                <w:lang w:val="en-US" w:eastAsia="zh-CN" w:bidi="ar-SA"/>
              </w:rPr>
            </w:pPr>
            <w:r>
              <w:rPr>
                <w:rFonts w:hint="eastAsia" w:ascii="黑体" w:hAnsi="黑体" w:eastAsia="黑体" w:cs="黑体"/>
                <w:kern w:val="2"/>
                <w:sz w:val="24"/>
                <w:szCs w:val="24"/>
                <w:lang w:val="en-US" w:eastAsia="zh-CN" w:bidi="ar-SA"/>
              </w:rPr>
              <w:t>楼梯</w:t>
            </w:r>
          </w:p>
        </w:tc>
        <w:tc>
          <w:tcPr>
            <w:tcW w:w="1235" w:type="pct"/>
            <w:vAlign w:val="center"/>
          </w:tcPr>
          <w:p>
            <w:pPr>
              <w:jc w:val="center"/>
              <w:rPr>
                <w:rFonts w:hint="eastAsia" w:ascii="黑体" w:hAnsi="黑体" w:eastAsia="黑体" w:cs="黑体"/>
                <w:kern w:val="2"/>
                <w:sz w:val="24"/>
                <w:szCs w:val="24"/>
                <w:lang w:val="en-US" w:eastAsia="zh-CN" w:bidi="ar-SA"/>
              </w:rPr>
            </w:pPr>
          </w:p>
        </w:tc>
        <w:tc>
          <w:tcPr>
            <w:tcW w:w="928" w:type="pct"/>
            <w:vAlign w:val="center"/>
          </w:tcPr>
          <w:p>
            <w:pPr>
              <w:jc w:val="center"/>
              <w:rPr>
                <w:rFonts w:hint="default"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2</w:t>
            </w:r>
          </w:p>
        </w:tc>
        <w:tc>
          <w:tcPr>
            <w:tcW w:w="468" w:type="pct"/>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套</w:t>
            </w:r>
          </w:p>
        </w:tc>
        <w:tc>
          <w:tcPr>
            <w:tcW w:w="1175" w:type="pct"/>
            <w:vMerge w:val="continue"/>
            <w:tcBorders/>
            <w:vAlign w:val="center"/>
          </w:tcPr>
          <w:p>
            <w:pPr>
              <w:jc w:val="center"/>
              <w:rPr>
                <w:rFonts w:hint="eastAsia" w:ascii="黑体" w:hAnsi="黑体" w:eastAsia="黑体" w:cs="黑体"/>
                <w:kern w:val="2"/>
                <w:sz w:val="24"/>
                <w:szCs w:val="24"/>
                <w:vertAlign w:val="baseline"/>
                <w:lang w:val="en-US" w:eastAsia="zh-CN" w:bidi="ar-SA"/>
              </w:rPr>
            </w:pPr>
          </w:p>
        </w:tc>
      </w:tr>
    </w:tbl>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满足图纸设计要求,结算以实际工程量*单价。</w:t>
      </w:r>
    </w:p>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附产品照片与产品合格证。</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p>
    <w:p>
      <w:pPr>
        <w:rPr>
          <w:rFonts w:hint="eastAsia" w:ascii="黑体" w:hAnsi="黑体" w:eastAsia="黑体" w:cs="黑体"/>
          <w:bCs/>
          <w:sz w:val="28"/>
          <w:szCs w:val="28"/>
          <w:lang w:eastAsia="zh-CN"/>
        </w:rPr>
      </w:pPr>
    </w:p>
    <w:p>
      <w:pPr>
        <w:spacing w:line="480" w:lineRule="exact"/>
        <w:ind w:firstLine="560"/>
        <w:rPr>
          <w:rFonts w:hint="eastAsia" w:ascii="黑体" w:hAnsi="黑体" w:eastAsia="黑体" w:cs="黑体"/>
          <w:bCs/>
          <w:sz w:val="28"/>
          <w:szCs w:val="28"/>
          <w:lang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spacing w:line="480" w:lineRule="exact"/>
        <w:ind w:firstLine="560"/>
        <w:rPr>
          <w:rFonts w:hint="eastAsia" w:ascii="黑体" w:hAnsi="黑体" w:eastAsia="黑体" w:cs="黑体"/>
          <w:bCs/>
          <w:sz w:val="28"/>
          <w:szCs w:val="28"/>
          <w:lang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eastAsia="zh-CN"/>
        </w:rPr>
        <w:t>报价表</w:t>
      </w:r>
    </w:p>
    <w:tbl>
      <w:tblPr>
        <w:tblStyle w:val="10"/>
        <w:tblpPr w:leftFromText="180" w:rightFromText="180" w:vertAnchor="page" w:horzAnchor="page" w:tblpX="1690" w:tblpY="2880"/>
        <w:tblOverlap w:val="never"/>
        <w:tblW w:w="490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6"/>
        <w:gridCol w:w="1791"/>
        <w:gridCol w:w="1071"/>
        <w:gridCol w:w="757"/>
        <w:gridCol w:w="946"/>
        <w:gridCol w:w="1039"/>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937"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名称</w:t>
            </w:r>
          </w:p>
        </w:tc>
        <w:tc>
          <w:tcPr>
            <w:tcW w:w="1071"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规格</w:t>
            </w:r>
          </w:p>
        </w:tc>
        <w:tc>
          <w:tcPr>
            <w:tcW w:w="640"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暂定工程量</w:t>
            </w:r>
          </w:p>
        </w:tc>
        <w:tc>
          <w:tcPr>
            <w:tcW w:w="453"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单位</w:t>
            </w:r>
          </w:p>
        </w:tc>
        <w:tc>
          <w:tcPr>
            <w:tcW w:w="566"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单价（元）</w:t>
            </w:r>
          </w:p>
        </w:tc>
        <w:tc>
          <w:tcPr>
            <w:tcW w:w="621"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金额（元）</w:t>
            </w:r>
          </w:p>
        </w:tc>
        <w:tc>
          <w:tcPr>
            <w:tcW w:w="70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937" w:type="pct"/>
            <w:vAlign w:val="center"/>
          </w:tcPr>
          <w:p>
            <w:pPr>
              <w:jc w:val="center"/>
              <w:rPr>
                <w:rFonts w:hint="eastAsia" w:ascii="黑体" w:hAnsi="黑体" w:eastAsia="黑体" w:cs="黑体"/>
                <w:kern w:val="2"/>
                <w:sz w:val="24"/>
                <w:szCs w:val="24"/>
                <w:vertAlign w:val="baseline"/>
                <w:lang w:val="en-US" w:eastAsia="zh-CN" w:bidi="ar-SA"/>
              </w:rPr>
            </w:pPr>
            <w:r>
              <w:rPr>
                <w:rFonts w:hint="eastAsia" w:ascii="黑体" w:hAnsi="黑体" w:eastAsia="黑体" w:cs="黑体"/>
                <w:sz w:val="24"/>
                <w:szCs w:val="24"/>
                <w:vertAlign w:val="baseline"/>
                <w:lang w:val="en-US" w:eastAsia="zh-CN"/>
              </w:rPr>
              <w:t>集装箱式板房一层</w:t>
            </w:r>
          </w:p>
        </w:tc>
        <w:tc>
          <w:tcPr>
            <w:tcW w:w="1071" w:type="pct"/>
            <w:vAlign w:val="center"/>
          </w:tcPr>
          <w:p>
            <w:pPr>
              <w:jc w:val="center"/>
              <w:rPr>
                <w:rFonts w:hint="eastAsia" w:ascii="黑体" w:hAnsi="黑体" w:eastAsia="黑体" w:cs="黑体"/>
                <w:kern w:val="2"/>
                <w:sz w:val="24"/>
                <w:szCs w:val="24"/>
                <w:vertAlign w:val="baseline"/>
                <w:lang w:val="en-US" w:eastAsia="zh-CN" w:bidi="ar-SA"/>
              </w:rPr>
            </w:pPr>
            <w:r>
              <w:rPr>
                <w:rFonts w:hint="eastAsia" w:ascii="黑体" w:hAnsi="黑体" w:eastAsia="黑体" w:cs="黑体"/>
                <w:kern w:val="2"/>
                <w:sz w:val="24"/>
                <w:szCs w:val="24"/>
                <w:lang w:val="en-US" w:eastAsia="zh-CN" w:bidi="ar-SA"/>
              </w:rPr>
              <w:t>3m*6m*2.8m，预设电灯、插座等</w:t>
            </w:r>
          </w:p>
        </w:tc>
        <w:tc>
          <w:tcPr>
            <w:tcW w:w="640" w:type="pct"/>
            <w:vAlign w:val="center"/>
          </w:tcPr>
          <w:p>
            <w:pPr>
              <w:jc w:val="center"/>
              <w:rPr>
                <w:rFonts w:hint="default" w:ascii="黑体" w:hAnsi="黑体" w:eastAsia="黑体" w:cs="黑体"/>
                <w:kern w:val="2"/>
                <w:sz w:val="24"/>
                <w:szCs w:val="24"/>
                <w:vertAlign w:val="baseline"/>
                <w:lang w:val="en-US" w:eastAsia="zh-CN" w:bidi="ar-SA"/>
              </w:rPr>
            </w:pPr>
            <w:r>
              <w:rPr>
                <w:rFonts w:hint="eastAsia" w:ascii="黑体" w:hAnsi="黑体" w:eastAsia="黑体" w:cs="黑体"/>
                <w:sz w:val="24"/>
                <w:szCs w:val="24"/>
                <w:vertAlign w:val="baseline"/>
                <w:lang w:val="en-US" w:eastAsia="zh-CN"/>
              </w:rPr>
              <w:t>12</w:t>
            </w:r>
          </w:p>
        </w:tc>
        <w:tc>
          <w:tcPr>
            <w:tcW w:w="453" w:type="pct"/>
            <w:vAlign w:val="center"/>
          </w:tcPr>
          <w:p>
            <w:pPr>
              <w:jc w:val="center"/>
              <w:rPr>
                <w:rFonts w:hint="eastAsia" w:ascii="黑体" w:hAnsi="黑体" w:eastAsia="黑体" w:cs="黑体"/>
                <w:kern w:val="2"/>
                <w:sz w:val="24"/>
                <w:szCs w:val="24"/>
                <w:vertAlign w:val="baseline"/>
                <w:lang w:val="en-US" w:eastAsia="zh-CN" w:bidi="ar-SA"/>
              </w:rPr>
            </w:pPr>
            <w:r>
              <w:rPr>
                <w:rFonts w:hint="eastAsia" w:ascii="黑体" w:hAnsi="黑体" w:eastAsia="黑体" w:cs="黑体"/>
                <w:sz w:val="24"/>
                <w:szCs w:val="24"/>
                <w:vertAlign w:val="baseline"/>
                <w:lang w:val="en-US" w:eastAsia="zh-CN"/>
              </w:rPr>
              <w:t>套</w:t>
            </w:r>
          </w:p>
        </w:tc>
        <w:tc>
          <w:tcPr>
            <w:tcW w:w="566" w:type="pct"/>
            <w:vAlign w:val="center"/>
          </w:tcPr>
          <w:p>
            <w:pPr>
              <w:jc w:val="center"/>
              <w:rPr>
                <w:rFonts w:hint="default" w:ascii="黑体" w:hAnsi="黑体" w:eastAsia="黑体" w:cs="黑体"/>
                <w:sz w:val="28"/>
                <w:szCs w:val="28"/>
                <w:vertAlign w:val="baseline"/>
                <w:lang w:val="en-US" w:eastAsia="zh-CN"/>
              </w:rPr>
            </w:pPr>
          </w:p>
        </w:tc>
        <w:tc>
          <w:tcPr>
            <w:tcW w:w="621" w:type="pct"/>
            <w:vAlign w:val="center"/>
          </w:tcPr>
          <w:p>
            <w:pPr>
              <w:jc w:val="center"/>
              <w:rPr>
                <w:rFonts w:hint="default" w:ascii="黑体" w:hAnsi="黑体" w:eastAsia="黑体" w:cs="黑体"/>
                <w:sz w:val="28"/>
                <w:szCs w:val="28"/>
                <w:vertAlign w:val="baseline"/>
                <w:lang w:val="en-US" w:eastAsia="zh-CN"/>
              </w:rPr>
            </w:pPr>
          </w:p>
        </w:tc>
        <w:tc>
          <w:tcPr>
            <w:tcW w:w="709" w:type="pct"/>
            <w:vMerge w:val="restart"/>
            <w:vAlign w:val="center"/>
          </w:tcPr>
          <w:p>
            <w:pPr>
              <w:jc w:val="center"/>
              <w:rPr>
                <w:rFonts w:hint="eastAsia" w:ascii="黑体" w:hAnsi="黑体" w:eastAsia="黑体" w:cs="黑体"/>
                <w:kern w:val="2"/>
                <w:sz w:val="28"/>
                <w:szCs w:val="28"/>
                <w:vertAlign w:val="baseline"/>
                <w:lang w:val="en-US" w:eastAsia="zh-CN" w:bidi="ar-SA"/>
              </w:rPr>
            </w:pPr>
            <w:r>
              <w:rPr>
                <w:rFonts w:hint="eastAsia" w:ascii="黑体" w:hAnsi="黑体" w:eastAsia="黑体" w:cs="黑体"/>
                <w:kern w:val="2"/>
                <w:sz w:val="24"/>
                <w:szCs w:val="24"/>
                <w:vertAlign w:val="baseline"/>
                <w:lang w:val="en-US" w:eastAsia="zh-CN" w:bidi="ar-SA"/>
              </w:rPr>
              <w:t>包运、包安装。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937" w:type="pct"/>
            <w:vAlign w:val="center"/>
          </w:tcPr>
          <w:p>
            <w:pPr>
              <w:jc w:val="center"/>
              <w:rPr>
                <w:rFonts w:hint="eastAsia" w:ascii="黑体" w:hAnsi="黑体" w:eastAsia="黑体" w:cs="黑体"/>
                <w:kern w:val="2"/>
                <w:sz w:val="24"/>
                <w:szCs w:val="24"/>
                <w:lang w:val="en-US" w:eastAsia="zh-CN" w:bidi="ar-SA"/>
              </w:rPr>
            </w:pPr>
            <w:r>
              <w:rPr>
                <w:rFonts w:hint="eastAsia" w:ascii="黑体" w:hAnsi="黑体" w:eastAsia="黑体" w:cs="黑体"/>
                <w:sz w:val="24"/>
                <w:szCs w:val="24"/>
                <w:vertAlign w:val="baseline"/>
                <w:lang w:val="en-US" w:eastAsia="zh-CN"/>
              </w:rPr>
              <w:t>集装箱式板房二层</w:t>
            </w:r>
          </w:p>
        </w:tc>
        <w:tc>
          <w:tcPr>
            <w:tcW w:w="1071" w:type="pct"/>
            <w:vAlign w:val="center"/>
          </w:tcPr>
          <w:p>
            <w:pPr>
              <w:jc w:val="center"/>
              <w:rPr>
                <w:rFonts w:hint="eastAsia" w:ascii="黑体" w:hAnsi="黑体" w:eastAsia="黑体" w:cs="黑体"/>
                <w:kern w:val="2"/>
                <w:sz w:val="24"/>
                <w:szCs w:val="24"/>
                <w:lang w:val="en-US" w:eastAsia="zh-CN" w:bidi="ar-SA"/>
              </w:rPr>
            </w:pPr>
            <w:r>
              <w:rPr>
                <w:rFonts w:hint="eastAsia" w:ascii="黑体" w:hAnsi="黑体" w:eastAsia="黑体" w:cs="黑体"/>
                <w:kern w:val="2"/>
                <w:sz w:val="24"/>
                <w:szCs w:val="24"/>
                <w:lang w:val="en-US" w:eastAsia="zh-CN" w:bidi="ar-SA"/>
              </w:rPr>
              <w:t>3m*6m*2.8m，预设电灯、插座等。含走廊雨棚</w:t>
            </w:r>
          </w:p>
        </w:tc>
        <w:tc>
          <w:tcPr>
            <w:tcW w:w="640" w:type="pct"/>
            <w:vAlign w:val="center"/>
          </w:tcPr>
          <w:p>
            <w:pPr>
              <w:jc w:val="center"/>
              <w:rPr>
                <w:rFonts w:hint="eastAsia" w:ascii="黑体" w:hAnsi="黑体" w:eastAsia="黑体" w:cs="黑体"/>
                <w:kern w:val="2"/>
                <w:sz w:val="24"/>
                <w:szCs w:val="24"/>
                <w:vertAlign w:val="baseline"/>
                <w:lang w:val="en-US" w:eastAsia="zh-CN" w:bidi="ar-SA"/>
              </w:rPr>
            </w:pPr>
            <w:r>
              <w:rPr>
                <w:rFonts w:hint="eastAsia" w:ascii="黑体" w:hAnsi="黑体" w:eastAsia="黑体" w:cs="黑体"/>
                <w:sz w:val="24"/>
                <w:szCs w:val="24"/>
                <w:vertAlign w:val="baseline"/>
                <w:lang w:val="en-US" w:eastAsia="zh-CN"/>
              </w:rPr>
              <w:t>12</w:t>
            </w:r>
          </w:p>
        </w:tc>
        <w:tc>
          <w:tcPr>
            <w:tcW w:w="453" w:type="pct"/>
            <w:vAlign w:val="center"/>
          </w:tcPr>
          <w:p>
            <w:pPr>
              <w:jc w:val="center"/>
              <w:rPr>
                <w:rFonts w:hint="eastAsia" w:ascii="黑体" w:hAnsi="黑体" w:eastAsia="黑体" w:cs="黑体"/>
                <w:kern w:val="2"/>
                <w:sz w:val="24"/>
                <w:szCs w:val="24"/>
                <w:vertAlign w:val="baseline"/>
                <w:lang w:val="en-US" w:eastAsia="zh-CN" w:bidi="ar-SA"/>
              </w:rPr>
            </w:pPr>
            <w:r>
              <w:rPr>
                <w:rFonts w:hint="eastAsia" w:ascii="黑体" w:hAnsi="黑体" w:eastAsia="黑体" w:cs="黑体"/>
                <w:sz w:val="24"/>
                <w:szCs w:val="24"/>
                <w:vertAlign w:val="baseline"/>
                <w:lang w:val="en-US" w:eastAsia="zh-CN"/>
              </w:rPr>
              <w:t>套</w:t>
            </w:r>
          </w:p>
        </w:tc>
        <w:tc>
          <w:tcPr>
            <w:tcW w:w="566" w:type="pct"/>
            <w:vAlign w:val="center"/>
          </w:tcPr>
          <w:p>
            <w:pPr>
              <w:jc w:val="center"/>
              <w:rPr>
                <w:rFonts w:hint="eastAsia" w:ascii="黑体" w:hAnsi="黑体" w:eastAsia="黑体" w:cs="黑体"/>
                <w:sz w:val="28"/>
                <w:szCs w:val="28"/>
                <w:vertAlign w:val="baseline"/>
                <w:lang w:eastAsia="zh-CN"/>
              </w:rPr>
            </w:pPr>
          </w:p>
        </w:tc>
        <w:tc>
          <w:tcPr>
            <w:tcW w:w="621" w:type="pct"/>
            <w:vAlign w:val="center"/>
          </w:tcPr>
          <w:p>
            <w:pPr>
              <w:jc w:val="center"/>
              <w:rPr>
                <w:rFonts w:hint="eastAsia" w:ascii="黑体" w:hAnsi="黑体" w:eastAsia="黑体" w:cs="黑体"/>
                <w:sz w:val="28"/>
                <w:szCs w:val="28"/>
                <w:vertAlign w:val="baseline"/>
                <w:lang w:eastAsia="zh-CN"/>
              </w:rPr>
            </w:pPr>
          </w:p>
        </w:tc>
        <w:tc>
          <w:tcPr>
            <w:tcW w:w="709" w:type="pct"/>
            <w:vMerge w:val="continue"/>
            <w:tcBorders/>
            <w:vAlign w:val="center"/>
          </w:tcPr>
          <w:p>
            <w:pPr>
              <w:jc w:val="center"/>
              <w:rPr>
                <w:rFonts w:hint="eastAsia" w:ascii="黑体" w:hAnsi="黑体" w:eastAsia="黑体" w:cs="黑体"/>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937" w:type="pct"/>
            <w:vAlign w:val="center"/>
          </w:tcPr>
          <w:p>
            <w:pPr>
              <w:jc w:val="center"/>
              <w:rPr>
                <w:rFonts w:hint="eastAsia" w:ascii="黑体" w:hAnsi="黑体" w:eastAsia="黑体" w:cs="黑体"/>
                <w:kern w:val="2"/>
                <w:sz w:val="24"/>
                <w:szCs w:val="24"/>
                <w:lang w:val="en-US" w:eastAsia="zh-CN" w:bidi="ar-SA"/>
              </w:rPr>
            </w:pPr>
            <w:r>
              <w:rPr>
                <w:rFonts w:hint="eastAsia" w:ascii="黑体" w:hAnsi="黑体" w:eastAsia="黑体" w:cs="黑体"/>
                <w:kern w:val="2"/>
                <w:sz w:val="24"/>
                <w:szCs w:val="24"/>
                <w:lang w:val="en-US" w:eastAsia="zh-CN" w:bidi="ar-SA"/>
              </w:rPr>
              <w:t>楼梯</w:t>
            </w:r>
          </w:p>
        </w:tc>
        <w:tc>
          <w:tcPr>
            <w:tcW w:w="1071" w:type="pct"/>
            <w:vAlign w:val="center"/>
          </w:tcPr>
          <w:p>
            <w:pPr>
              <w:jc w:val="center"/>
              <w:rPr>
                <w:rFonts w:hint="eastAsia" w:ascii="黑体" w:hAnsi="黑体" w:eastAsia="黑体" w:cs="黑体"/>
                <w:kern w:val="2"/>
                <w:sz w:val="24"/>
                <w:szCs w:val="24"/>
                <w:lang w:val="en-US" w:eastAsia="zh-CN" w:bidi="ar-SA"/>
              </w:rPr>
            </w:pPr>
          </w:p>
        </w:tc>
        <w:tc>
          <w:tcPr>
            <w:tcW w:w="640" w:type="pct"/>
            <w:vAlign w:val="center"/>
          </w:tcPr>
          <w:p>
            <w:pPr>
              <w:jc w:val="center"/>
              <w:rPr>
                <w:rFonts w:hint="eastAsia" w:ascii="黑体" w:hAnsi="黑体" w:eastAsia="黑体" w:cs="黑体"/>
                <w:kern w:val="2"/>
                <w:sz w:val="24"/>
                <w:szCs w:val="24"/>
                <w:vertAlign w:val="baseline"/>
                <w:lang w:val="en-US" w:eastAsia="zh-CN" w:bidi="ar-SA"/>
              </w:rPr>
            </w:pPr>
            <w:r>
              <w:rPr>
                <w:rFonts w:hint="eastAsia" w:ascii="黑体" w:hAnsi="黑体" w:eastAsia="黑体" w:cs="黑体"/>
                <w:sz w:val="24"/>
                <w:szCs w:val="24"/>
                <w:vertAlign w:val="baseline"/>
                <w:lang w:val="en-US" w:eastAsia="zh-CN"/>
              </w:rPr>
              <w:t>2</w:t>
            </w:r>
          </w:p>
        </w:tc>
        <w:tc>
          <w:tcPr>
            <w:tcW w:w="453" w:type="pct"/>
            <w:vAlign w:val="center"/>
          </w:tcPr>
          <w:p>
            <w:pPr>
              <w:jc w:val="center"/>
              <w:rPr>
                <w:rFonts w:hint="eastAsia" w:ascii="黑体" w:hAnsi="黑体" w:eastAsia="黑体" w:cs="黑体"/>
                <w:kern w:val="2"/>
                <w:sz w:val="24"/>
                <w:szCs w:val="24"/>
                <w:vertAlign w:val="baseline"/>
                <w:lang w:val="en-US" w:eastAsia="zh-CN" w:bidi="ar-SA"/>
              </w:rPr>
            </w:pPr>
            <w:r>
              <w:rPr>
                <w:rFonts w:hint="eastAsia" w:ascii="黑体" w:hAnsi="黑体" w:eastAsia="黑体" w:cs="黑体"/>
                <w:sz w:val="24"/>
                <w:szCs w:val="24"/>
                <w:vertAlign w:val="baseline"/>
                <w:lang w:val="en-US" w:eastAsia="zh-CN"/>
              </w:rPr>
              <w:t>套</w:t>
            </w:r>
          </w:p>
        </w:tc>
        <w:tc>
          <w:tcPr>
            <w:tcW w:w="566" w:type="pct"/>
            <w:vAlign w:val="center"/>
          </w:tcPr>
          <w:p>
            <w:pPr>
              <w:jc w:val="center"/>
              <w:rPr>
                <w:rFonts w:hint="eastAsia" w:ascii="黑体" w:hAnsi="黑体" w:eastAsia="黑体" w:cs="黑体"/>
                <w:sz w:val="28"/>
                <w:szCs w:val="28"/>
                <w:vertAlign w:val="baseline"/>
                <w:lang w:eastAsia="zh-CN"/>
              </w:rPr>
            </w:pPr>
          </w:p>
        </w:tc>
        <w:tc>
          <w:tcPr>
            <w:tcW w:w="621" w:type="pct"/>
            <w:vAlign w:val="center"/>
          </w:tcPr>
          <w:p>
            <w:pPr>
              <w:jc w:val="center"/>
              <w:rPr>
                <w:rFonts w:hint="eastAsia" w:ascii="黑体" w:hAnsi="黑体" w:eastAsia="黑体" w:cs="黑体"/>
                <w:sz w:val="28"/>
                <w:szCs w:val="28"/>
                <w:vertAlign w:val="baseline"/>
                <w:lang w:eastAsia="zh-CN"/>
              </w:rPr>
            </w:pPr>
          </w:p>
        </w:tc>
        <w:tc>
          <w:tcPr>
            <w:tcW w:w="709" w:type="pct"/>
            <w:vMerge w:val="continue"/>
            <w:tcBorders/>
            <w:vAlign w:val="center"/>
          </w:tcPr>
          <w:p>
            <w:pPr>
              <w:jc w:val="center"/>
              <w:rPr>
                <w:rFonts w:hint="eastAsia" w:ascii="黑体" w:hAnsi="黑体" w:eastAsia="黑体" w:cs="黑体"/>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937" w:type="pct"/>
            <w:vAlign w:val="center"/>
          </w:tcPr>
          <w:p>
            <w:pPr>
              <w:jc w:val="center"/>
              <w:rPr>
                <w:rFonts w:hint="eastAsia" w:ascii="黑体" w:hAnsi="黑体" w:eastAsia="黑体" w:cs="黑体"/>
                <w:kern w:val="2"/>
                <w:sz w:val="28"/>
                <w:szCs w:val="28"/>
                <w:lang w:val="en-US" w:eastAsia="zh-CN" w:bidi="ar-SA"/>
              </w:rPr>
            </w:pPr>
          </w:p>
        </w:tc>
        <w:tc>
          <w:tcPr>
            <w:tcW w:w="4062" w:type="pct"/>
            <w:gridSpan w:val="6"/>
            <w:vAlign w:val="center"/>
          </w:tcPr>
          <w:p>
            <w:pPr>
              <w:jc w:val="center"/>
              <w:rPr>
                <w:rFonts w:hint="eastAsia" w:ascii="黑体" w:hAnsi="黑体" w:eastAsia="黑体" w:cs="黑体"/>
                <w:kern w:val="2"/>
                <w:sz w:val="28"/>
                <w:szCs w:val="28"/>
                <w:vertAlign w:val="baseline"/>
                <w:lang w:val="en-US" w:eastAsia="zh-CN" w:bidi="ar-SA"/>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%增值税专发票</w:t>
            </w:r>
          </w:p>
        </w:tc>
      </w:tr>
    </w:tbl>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满足图纸设计要求,结算以实际工程量*单价。</w:t>
      </w:r>
    </w:p>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附产品照片与产品合格证。</w:t>
      </w:r>
    </w:p>
    <w:p>
      <w:pPr>
        <w:pStyle w:val="2"/>
        <w:rPr>
          <w:rFonts w:hint="eastAsia"/>
          <w:lang w:val="en-US" w:eastAsia="zh-CN"/>
        </w:rPr>
      </w:pP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 xml:space="preserve">报价公司（盖章/签字）：               </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 xml:space="preserve">联系电话：               </w:t>
      </w:r>
    </w:p>
    <w:p>
      <w:pPr>
        <w:spacing w:line="480" w:lineRule="exact"/>
        <w:ind w:firstLine="560"/>
        <w:jc w:val="center"/>
        <w:rPr>
          <w:rFonts w:hint="eastAsia" w:ascii="黑体" w:hAnsi="黑体" w:eastAsia="黑体" w:cs="黑体"/>
          <w:bCs/>
          <w:sz w:val="28"/>
          <w:szCs w:val="28"/>
          <w:lang w:val="en-US" w:eastAsia="zh-CN"/>
        </w:rPr>
      </w:pPr>
      <w:r>
        <w:rPr>
          <w:rFonts w:hint="eastAsia" w:ascii="黑体" w:hAnsi="黑体" w:eastAsia="黑体" w:cs="黑体"/>
          <w:bCs/>
          <w:sz w:val="28"/>
          <w:szCs w:val="28"/>
          <w:vertAlign w:val="baseline"/>
          <w:lang w:val="en-US" w:eastAsia="zh-CN"/>
        </w:rPr>
        <w:t xml:space="preserve">                                 二〇二四年    月    日</w:t>
      </w: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eastAsia" w:ascii="黑体" w:hAnsi="黑体" w:eastAsia="黑体" w:cs="黑体"/>
          <w:bCs/>
          <w:sz w:val="28"/>
          <w:szCs w:val="28"/>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CDA74F"/>
    <w:multiLevelType w:val="singleLevel"/>
    <w:tmpl w:val="07CDA74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E940B6"/>
    <w:rsid w:val="03BB2412"/>
    <w:rsid w:val="080F4E4C"/>
    <w:rsid w:val="123B44DB"/>
    <w:rsid w:val="13427452"/>
    <w:rsid w:val="148C0331"/>
    <w:rsid w:val="18CD45C3"/>
    <w:rsid w:val="1B1A3D72"/>
    <w:rsid w:val="21904E3C"/>
    <w:rsid w:val="22D1686C"/>
    <w:rsid w:val="23BE366C"/>
    <w:rsid w:val="25016986"/>
    <w:rsid w:val="26AB53B4"/>
    <w:rsid w:val="26CB7B8B"/>
    <w:rsid w:val="282547DB"/>
    <w:rsid w:val="28CA41A9"/>
    <w:rsid w:val="2A155F2B"/>
    <w:rsid w:val="2A4E4E38"/>
    <w:rsid w:val="2C142FCE"/>
    <w:rsid w:val="2C2179E7"/>
    <w:rsid w:val="2CAC5E34"/>
    <w:rsid w:val="2EC11F71"/>
    <w:rsid w:val="329872F1"/>
    <w:rsid w:val="3627310D"/>
    <w:rsid w:val="39CD293D"/>
    <w:rsid w:val="3A75308C"/>
    <w:rsid w:val="3B0F003B"/>
    <w:rsid w:val="3D133366"/>
    <w:rsid w:val="3D8E21AA"/>
    <w:rsid w:val="3FD748AC"/>
    <w:rsid w:val="44337892"/>
    <w:rsid w:val="45737EAE"/>
    <w:rsid w:val="46213054"/>
    <w:rsid w:val="463C3085"/>
    <w:rsid w:val="46C25FF9"/>
    <w:rsid w:val="47187195"/>
    <w:rsid w:val="47C562E2"/>
    <w:rsid w:val="48E31EFC"/>
    <w:rsid w:val="4F400F4C"/>
    <w:rsid w:val="557821C2"/>
    <w:rsid w:val="574B49CA"/>
    <w:rsid w:val="57671164"/>
    <w:rsid w:val="59EE16C8"/>
    <w:rsid w:val="5FE64881"/>
    <w:rsid w:val="5FEB0C76"/>
    <w:rsid w:val="60BC2EF7"/>
    <w:rsid w:val="648373FE"/>
    <w:rsid w:val="64FC5C8D"/>
    <w:rsid w:val="662C7566"/>
    <w:rsid w:val="674533D7"/>
    <w:rsid w:val="6747444C"/>
    <w:rsid w:val="69CB37D4"/>
    <w:rsid w:val="6B0609B5"/>
    <w:rsid w:val="6BE94F83"/>
    <w:rsid w:val="6E65699A"/>
    <w:rsid w:val="72D36C77"/>
    <w:rsid w:val="74955EF0"/>
    <w:rsid w:val="7557656C"/>
    <w:rsid w:val="7B4D0916"/>
    <w:rsid w:val="7C2101DE"/>
    <w:rsid w:val="7C2129DB"/>
    <w:rsid w:val="7DE20C82"/>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rPr>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642</Words>
  <Characters>686</Characters>
  <Lines>8</Lines>
  <Paragraphs>2</Paragraphs>
  <TotalTime>32</TotalTime>
  <ScaleCrop>false</ScaleCrop>
  <LinksUpToDate>false</LinksUpToDate>
  <CharactersWithSpaces>812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2023-11-29T14:38:00Z</cp:lastPrinted>
  <dcterms:modified xsi:type="dcterms:W3CDTF">2024-01-10T12:49:12Z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0B1F8BE4FCD24D26BD6AF177B6690883</vt:lpwstr>
  </property>
</Properties>
</file>