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eastAsia" w:ascii="仿宋" w:hAnsi="仿宋" w:eastAsia="仿宋" w:cs="仿宋"/>
          <w:b/>
          <w:bCs/>
          <w:sz w:val="36"/>
          <w:szCs w:val="36"/>
          <w:lang w:eastAsia="zh-CN"/>
        </w:rPr>
      </w:pPr>
      <w:r>
        <w:rPr>
          <w:rFonts w:hint="eastAsia" w:ascii="仿宋" w:hAnsi="仿宋" w:eastAsia="仿宋" w:cs="仿宋"/>
          <w:b/>
          <w:bCs/>
          <w:sz w:val="36"/>
          <w:szCs w:val="36"/>
        </w:rPr>
        <w:t>会昌县贡江珠兰采区河道采砂临时上岸点编制土地复垦方案</w:t>
      </w:r>
      <w:r>
        <w:rPr>
          <w:rFonts w:hint="eastAsia" w:ascii="仿宋" w:hAnsi="仿宋" w:eastAsia="仿宋" w:cs="仿宋"/>
          <w:b/>
          <w:bCs/>
          <w:sz w:val="36"/>
          <w:szCs w:val="36"/>
          <w:lang w:eastAsia="zh-CN"/>
        </w:rPr>
        <w:t>询价公告</w:t>
      </w:r>
    </w:p>
    <w:p>
      <w:pPr>
        <w:jc w:val="left"/>
        <w:rPr>
          <w:rFonts w:ascii="仿宋" w:hAnsi="仿宋" w:eastAsia="仿宋" w:cs="仿宋"/>
          <w:b/>
          <w:bCs/>
          <w:sz w:val="28"/>
          <w:szCs w:val="36"/>
        </w:rPr>
      </w:pPr>
      <w:r>
        <w:rPr>
          <w:rFonts w:hint="eastAsia" w:ascii="仿宋" w:hAnsi="仿宋" w:eastAsia="仿宋" w:cs="仿宋"/>
          <w:b/>
          <w:bCs/>
          <w:sz w:val="28"/>
          <w:szCs w:val="36"/>
        </w:rPr>
        <w:t>一、</w:t>
      </w:r>
      <w:r>
        <w:rPr>
          <w:rFonts w:hint="eastAsia" w:ascii="仿宋" w:hAnsi="仿宋" w:eastAsia="仿宋" w:cs="仿宋"/>
          <w:b/>
          <w:bCs/>
          <w:sz w:val="28"/>
          <w:szCs w:val="36"/>
          <w:lang w:eastAsia="zh-CN"/>
        </w:rPr>
        <w:t>供应商</w:t>
      </w:r>
      <w:r>
        <w:rPr>
          <w:rFonts w:hint="eastAsia" w:ascii="仿宋" w:hAnsi="仿宋" w:eastAsia="仿宋" w:cs="仿宋"/>
          <w:b/>
          <w:bCs/>
          <w:sz w:val="28"/>
          <w:szCs w:val="36"/>
        </w:rPr>
        <w:t>须知</w:t>
      </w:r>
      <w:bookmarkStart w:id="0" w:name="_GoBack"/>
      <w:bookmarkEnd w:id="0"/>
    </w:p>
    <w:tbl>
      <w:tblPr>
        <w:tblStyle w:val="8"/>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项号</w:t>
            </w:r>
          </w:p>
        </w:tc>
        <w:tc>
          <w:tcPr>
            <w:tcW w:w="1629"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内 容</w:t>
            </w:r>
          </w:p>
        </w:tc>
        <w:tc>
          <w:tcPr>
            <w:tcW w:w="7020"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1</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采购人</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Cs/>
                <w:sz w:val="30"/>
                <w:szCs w:val="30"/>
              </w:rPr>
            </w:pPr>
            <w:r>
              <w:rPr>
                <w:rFonts w:hint="eastAsia" w:ascii="仿宋" w:hAnsi="仿宋" w:eastAsia="仿宋" w:cs="仿宋"/>
                <w:bCs/>
                <w:sz w:val="30"/>
                <w:szCs w:val="30"/>
              </w:rPr>
              <w:t>会昌县正源建设有限责任公司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3</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项目地点</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会昌县珠兰乡珠兰村（原造船厂）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4</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内容</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编制河道采砂临时上岸点土地复垦方案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6</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工期要求</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sz w:val="30"/>
                <w:szCs w:val="30"/>
              </w:rPr>
              <w:t>总工期6天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7</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报名时间</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color w:val="FF0000"/>
                <w:sz w:val="30"/>
                <w:szCs w:val="30"/>
              </w:rPr>
            </w:pPr>
            <w:r>
              <w:rPr>
                <w:rFonts w:hint="eastAsia" w:ascii="仿宋" w:hAnsi="仿宋" w:eastAsia="仿宋" w:cs="仿宋"/>
                <w:color w:val="000000"/>
                <w:sz w:val="30"/>
                <w:szCs w:val="30"/>
              </w:rPr>
              <w:t>2023年11月30日至2023年12月4日下5点30分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8</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付款方式</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完成编制河道采砂临时上岸点土地复垦方案并通过有关部门验收后一个月内一次性付清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9</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计价方式</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color w:val="000000"/>
                <w:sz w:val="30"/>
                <w:szCs w:val="30"/>
              </w:rPr>
              <w:t>固定单价包干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10</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联系人及</w:t>
            </w:r>
            <w:r>
              <w:rPr>
                <w:rFonts w:hint="eastAsia" w:ascii="仿宋" w:hAnsi="仿宋" w:eastAsia="仿宋" w:cs="仿宋"/>
                <w:sz w:val="30"/>
                <w:szCs w:val="30"/>
                <w:lang w:eastAsia="zh-CN"/>
              </w:rPr>
              <w:t>提交报价</w:t>
            </w:r>
            <w:r>
              <w:rPr>
                <w:rFonts w:hint="eastAsia" w:ascii="仿宋" w:hAnsi="仿宋" w:eastAsia="仿宋" w:cs="仿宋"/>
                <w:sz w:val="30"/>
                <w:szCs w:val="30"/>
              </w:rPr>
              <w:t>地点</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0"/>
                <w:szCs w:val="30"/>
              </w:rPr>
            </w:pPr>
            <w:r>
              <w:rPr>
                <w:rFonts w:hint="eastAsia" w:ascii="仿宋" w:hAnsi="仿宋" w:eastAsia="仿宋" w:cs="仿宋"/>
                <w:sz w:val="30"/>
                <w:szCs w:val="30"/>
                <w:lang w:eastAsia="zh-CN"/>
              </w:rPr>
              <w:t>采购</w:t>
            </w:r>
            <w:r>
              <w:rPr>
                <w:rFonts w:hint="eastAsia" w:ascii="仿宋" w:hAnsi="仿宋" w:eastAsia="仿宋" w:cs="仿宋"/>
                <w:sz w:val="30"/>
                <w:szCs w:val="30"/>
              </w:rPr>
              <w:t xml:space="preserve">联系人：刘林生 18607977969 </w:t>
            </w:r>
            <w:r>
              <w:rPr>
                <w:rFonts w:hint="eastAsia" w:ascii="仿宋" w:hAnsi="仿宋" w:eastAsia="仿宋" w:cs="仿宋"/>
                <w:sz w:val="30"/>
                <w:szCs w:val="30"/>
                <w:lang w:eastAsia="zh-CN"/>
              </w:rPr>
              <w:t>提交报价</w:t>
            </w:r>
            <w:r>
              <w:rPr>
                <w:rFonts w:hint="eastAsia" w:ascii="仿宋" w:hAnsi="仿宋" w:eastAsia="仿宋" w:cs="仿宋"/>
                <w:sz w:val="30"/>
                <w:szCs w:val="30"/>
              </w:rPr>
              <w:t>地点：会昌县商会大厦九楼河道采砂管理部。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0"/>
                <w:szCs w:val="30"/>
              </w:rPr>
            </w:pPr>
            <w:r>
              <w:rPr>
                <w:rFonts w:hint="eastAsia" w:ascii="仿宋" w:hAnsi="仿宋" w:eastAsia="仿宋" w:cs="仿宋"/>
                <w:sz w:val="30"/>
                <w:szCs w:val="30"/>
              </w:rPr>
              <w:t>需要相关材料及勘察项目现场的请联系</w:t>
            </w:r>
            <w:r>
              <w:rPr>
                <w:rFonts w:hint="eastAsia" w:ascii="仿宋" w:hAnsi="仿宋" w:eastAsia="仿宋" w:cs="仿宋"/>
                <w:sz w:val="30"/>
                <w:szCs w:val="30"/>
                <w:lang w:eastAsia="zh-CN"/>
              </w:rPr>
              <w:t>采购</w:t>
            </w:r>
            <w:r>
              <w:rPr>
                <w:rFonts w:hint="eastAsia" w:ascii="仿宋" w:hAnsi="仿宋" w:eastAsia="仿宋" w:cs="仿宋"/>
                <w:sz w:val="30"/>
                <w:szCs w:val="30"/>
              </w:rPr>
              <w:t>联系人，并在报名有效期内提交报价材料。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0"/>
                <w:szCs w:val="30"/>
              </w:rPr>
            </w:pPr>
            <w:r>
              <w:rPr>
                <w:rFonts w:hint="eastAsia" w:ascii="仿宋" w:hAnsi="仿宋" w:eastAsia="仿宋" w:cs="仿宋"/>
                <w:b/>
                <w:bCs/>
                <w:sz w:val="30"/>
                <w:szCs w:val="30"/>
              </w:rPr>
              <w:t>11</w:t>
            </w:r>
          </w:p>
        </w:tc>
        <w:tc>
          <w:tcPr>
            <w:tcW w:w="1629" w:type="dxa"/>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开标时间地点及举报电话</w:t>
            </w:r>
          </w:p>
        </w:tc>
        <w:tc>
          <w:tcPr>
            <w:tcW w:w="7020" w:type="dxa"/>
            <w:vAlign w:val="center"/>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000000"/>
                <w:sz w:val="30"/>
                <w:szCs w:val="30"/>
              </w:rPr>
            </w:pPr>
            <w:r>
              <w:rPr>
                <w:rFonts w:hint="eastAsia" w:ascii="仿宋" w:hAnsi="仿宋" w:eastAsia="仿宋" w:cs="仿宋"/>
                <w:color w:val="000000"/>
                <w:sz w:val="30"/>
                <w:szCs w:val="30"/>
              </w:rPr>
              <w:t>开标时间为：2023年12月5日上午10:00，公司询价小组进行现场拆封各</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报价文件，审核各</w:t>
            </w:r>
            <w:r>
              <w:rPr>
                <w:rFonts w:hint="eastAsia" w:ascii="仿宋" w:hAnsi="仿宋" w:eastAsia="仿宋" w:cs="仿宋"/>
                <w:color w:val="000000"/>
                <w:sz w:val="30"/>
                <w:szCs w:val="30"/>
                <w:lang w:eastAsia="zh-CN"/>
              </w:rPr>
              <w:t>供应商</w:t>
            </w:r>
            <w:r>
              <w:rPr>
                <w:rFonts w:hint="eastAsia" w:ascii="仿宋" w:hAnsi="仿宋" w:eastAsia="仿宋" w:cs="仿宋"/>
                <w:color w:val="000000"/>
                <w:sz w:val="30"/>
                <w:szCs w:val="30"/>
              </w:rPr>
              <w:t>报价，按总价最优惠原则确定服务机构。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30"/>
                <w:szCs w:val="30"/>
              </w:rPr>
            </w:pPr>
            <w:r>
              <w:rPr>
                <w:rFonts w:hint="eastAsia" w:ascii="仿宋" w:hAnsi="仿宋" w:eastAsia="仿宋" w:cs="仿宋"/>
                <w:sz w:val="30"/>
                <w:szCs w:val="30"/>
              </w:rPr>
              <w:t>地点：会昌县商会大厦九楼会议室</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sz w:val="30"/>
                <w:szCs w:val="30"/>
              </w:rPr>
            </w:pPr>
            <w:r>
              <w:rPr>
                <w:rFonts w:hint="eastAsia" w:ascii="仿宋" w:hAnsi="仿宋" w:eastAsia="仿宋" w:cs="仿宋"/>
                <w:sz w:val="30"/>
                <w:szCs w:val="30"/>
              </w:rPr>
              <w:t>监督举报电话（县纪委派驻第十纪检监察组）：0797-5623881</w:t>
            </w:r>
          </w:p>
        </w:tc>
      </w:tr>
    </w:tbl>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二、报价要求及</w:t>
      </w:r>
      <w:r>
        <w:rPr>
          <w:rFonts w:hint="eastAsia" w:ascii="仿宋_GB2312" w:hAnsi="仿宋_GB2312" w:eastAsia="仿宋_GB2312" w:cs="仿宋_GB2312"/>
          <w:b/>
          <w:bCs/>
          <w:sz w:val="32"/>
          <w:szCs w:val="32"/>
          <w:lang w:eastAsia="zh-CN"/>
        </w:rPr>
        <w:t>确定成交供应商</w:t>
      </w:r>
      <w:r>
        <w:rPr>
          <w:rFonts w:hint="eastAsia" w:ascii="仿宋_GB2312" w:hAnsi="仿宋_GB2312" w:eastAsia="仿宋_GB2312" w:cs="仿宋_GB2312"/>
          <w:b/>
          <w:bCs/>
          <w:sz w:val="32"/>
          <w:szCs w:val="32"/>
        </w:rPr>
        <w:t>原则</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报价</w:t>
      </w:r>
      <w:r>
        <w:rPr>
          <w:rFonts w:hint="eastAsia" w:ascii="仿宋_GB2312" w:hAnsi="仿宋_GB2312" w:eastAsia="仿宋_GB2312" w:cs="仿宋_GB2312"/>
          <w:b/>
          <w:bCs/>
          <w:sz w:val="32"/>
          <w:szCs w:val="32"/>
        </w:rPr>
        <w:t>要求</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eastAsia="zh-CN"/>
        </w:rPr>
        <w:t>响应</w:t>
      </w:r>
      <w:r>
        <w:rPr>
          <w:rFonts w:hint="eastAsia" w:ascii="仿宋_GB2312" w:hAnsi="仿宋_GB2312" w:eastAsia="仿宋_GB2312" w:cs="仿宋_GB2312"/>
          <w:sz w:val="32"/>
          <w:szCs w:val="32"/>
        </w:rPr>
        <w:t>价格为固定单价，</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报价后我公司即视为报价方在报价前已充分进行了现场踏勘、测量、风险评估及工期提前等所有风险。</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1.2、报价文件由报价表、法人身份证复印件、公司营业执照复印件、所有材料必须进行封装并加盖公章，否则无效。</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1.3、提供虚假资料的取消其</w:t>
      </w:r>
      <w:r>
        <w:rPr>
          <w:rFonts w:hint="eastAsia" w:ascii="仿宋_GB2312" w:hAnsi="仿宋_GB2312" w:eastAsia="仿宋_GB2312" w:cs="仿宋_GB2312"/>
          <w:sz w:val="32"/>
          <w:szCs w:val="32"/>
          <w:lang w:eastAsia="zh-CN"/>
        </w:rPr>
        <w:t>报价</w:t>
      </w:r>
      <w:r>
        <w:rPr>
          <w:rFonts w:hint="eastAsia" w:ascii="仿宋_GB2312" w:hAnsi="仿宋_GB2312" w:eastAsia="仿宋_GB2312" w:cs="仿宋_GB2312"/>
          <w:sz w:val="32"/>
          <w:szCs w:val="32"/>
        </w:rPr>
        <w:t>及中标资格，开标时不足3家按流标处理。</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1.5、本项目的特定资格要求：</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2）提供公司主要管理及其直系亲属未在会昌县恒茂建设发展集团有限责任公司从业的承诺书。</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1.6、中标后3个工作日内签订合同，签订合同后3天日内开展工作。</w:t>
      </w:r>
    </w:p>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eastAsia="zh-CN"/>
        </w:rPr>
        <w:t>确定成交供应商</w:t>
      </w:r>
      <w:r>
        <w:rPr>
          <w:rFonts w:hint="eastAsia" w:ascii="仿宋_GB2312" w:hAnsi="仿宋_GB2312" w:eastAsia="仿宋_GB2312" w:cs="仿宋_GB2312"/>
          <w:b/>
          <w:bCs/>
          <w:sz w:val="32"/>
          <w:szCs w:val="32"/>
        </w:rPr>
        <w:t>原则：</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原则上符合报价文件且在同等条件下总价最优惠的为中标单位，由公司询价小组推选，最终报公司“三重一大”会议确定。</w:t>
      </w:r>
    </w:p>
    <w:p>
      <w:pPr>
        <w:numPr>
          <w:ilvl w:val="0"/>
          <w:numId w:val="1"/>
        </w:num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编制土地复垦方案及通过有关部门验收。</w:t>
      </w:r>
    </w:p>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w:t>
      </w:r>
      <w:r>
        <w:rPr>
          <w:rFonts w:hint="eastAsia" w:ascii="仿宋_GB2312" w:hAnsi="仿宋_GB2312" w:eastAsia="仿宋_GB2312" w:cs="仿宋_GB2312"/>
          <w:b/>
          <w:bCs/>
          <w:sz w:val="32"/>
          <w:szCs w:val="32"/>
          <w:lang w:eastAsia="zh-CN"/>
        </w:rPr>
        <w:t>报价</w:t>
      </w:r>
      <w:r>
        <w:rPr>
          <w:rFonts w:hint="eastAsia" w:ascii="仿宋_GB2312" w:hAnsi="仿宋_GB2312" w:eastAsia="仿宋_GB2312" w:cs="仿宋_GB2312"/>
          <w:b/>
          <w:bCs/>
          <w:sz w:val="32"/>
          <w:szCs w:val="32"/>
        </w:rPr>
        <w:t>文件递交</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应将</w:t>
      </w:r>
      <w:r>
        <w:rPr>
          <w:rFonts w:hint="eastAsia" w:ascii="仿宋_GB2312" w:hAnsi="仿宋_GB2312" w:eastAsia="仿宋_GB2312" w:cs="仿宋_GB2312"/>
          <w:sz w:val="32"/>
          <w:szCs w:val="32"/>
          <w:lang w:eastAsia="zh-CN"/>
        </w:rPr>
        <w:t>报价</w:t>
      </w:r>
      <w:r>
        <w:rPr>
          <w:rFonts w:hint="eastAsia" w:ascii="仿宋_GB2312" w:hAnsi="仿宋_GB2312" w:eastAsia="仿宋_GB2312" w:cs="仿宋_GB2312"/>
          <w:sz w:val="32"/>
          <w:szCs w:val="32"/>
        </w:rPr>
        <w:t>文件密封加盖章。</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2、封装袋上可写明</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名称和联系方式。</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供应商</w:t>
      </w:r>
      <w:r>
        <w:rPr>
          <w:rFonts w:hint="eastAsia" w:ascii="仿宋_GB2312" w:hAnsi="仿宋_GB2312" w:eastAsia="仿宋_GB2312" w:cs="仿宋_GB2312"/>
          <w:sz w:val="32"/>
          <w:szCs w:val="32"/>
        </w:rPr>
        <w:t>应在规定时间前将</w:t>
      </w:r>
      <w:r>
        <w:rPr>
          <w:rFonts w:hint="eastAsia" w:ascii="仿宋_GB2312" w:hAnsi="仿宋_GB2312" w:eastAsia="仿宋_GB2312" w:cs="仿宋_GB2312"/>
          <w:sz w:val="32"/>
          <w:szCs w:val="32"/>
          <w:lang w:eastAsia="zh-CN"/>
        </w:rPr>
        <w:t>报价</w:t>
      </w:r>
      <w:r>
        <w:rPr>
          <w:rFonts w:hint="eastAsia" w:ascii="仿宋_GB2312" w:hAnsi="仿宋_GB2312" w:eastAsia="仿宋_GB2312" w:cs="仿宋_GB2312"/>
          <w:sz w:val="32"/>
          <w:szCs w:val="32"/>
        </w:rPr>
        <w:t>文件递交到指定地点。</w:t>
      </w:r>
    </w:p>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四、项目概况</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1.会昌县贡江珠兰采区河道采砂临时上岸点编制土地复垦方案。</w:t>
      </w:r>
      <w:r>
        <w:rPr>
          <w:rFonts w:hint="eastAsia" w:ascii="仿宋" w:hAnsi="仿宋" w:eastAsia="仿宋" w:cs="仿宋"/>
          <w:sz w:val="30"/>
          <w:szCs w:val="30"/>
        </w:rPr>
        <w:t xml:space="preserve"> </w:t>
      </w:r>
    </w:p>
    <w:p>
      <w:pPr>
        <w:jc w:val="center"/>
        <w:rPr>
          <w:rFonts w:ascii="宋体" w:hAnsi="宋体"/>
          <w:bCs/>
          <w:color w:val="000000"/>
          <w:kern w:val="0"/>
          <w:sz w:val="32"/>
          <w:szCs w:val="32"/>
        </w:rPr>
      </w:pPr>
      <w:r>
        <w:rPr>
          <w:rFonts w:hint="eastAsia" w:ascii="宋体" w:hAnsi="宋体"/>
          <w:b/>
          <w:color w:val="000000"/>
          <w:kern w:val="0"/>
          <w:sz w:val="36"/>
          <w:szCs w:val="36"/>
        </w:rPr>
        <w:t>报价表</w:t>
      </w:r>
    </w:p>
    <w:p>
      <w:pPr>
        <w:widowControl/>
        <w:spacing w:line="500" w:lineRule="exact"/>
        <w:jc w:val="center"/>
        <w:rPr>
          <w:rFonts w:ascii="宋体" w:hAnsi="宋体"/>
          <w:b/>
          <w:color w:val="000000"/>
          <w:kern w:val="0"/>
          <w:sz w:val="36"/>
          <w:szCs w:val="36"/>
        </w:rPr>
      </w:pPr>
    </w:p>
    <w:tbl>
      <w:tblPr>
        <w:tblStyle w:val="8"/>
        <w:tblW w:w="82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7"/>
        <w:gridCol w:w="2201"/>
        <w:gridCol w:w="1701"/>
        <w:gridCol w:w="1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727" w:type="dxa"/>
            <w:vAlign w:val="center"/>
          </w:tcPr>
          <w:p>
            <w:pPr>
              <w:pStyle w:val="4"/>
              <w:ind w:left="0" w:leftChars="0"/>
              <w:jc w:val="center"/>
              <w:rPr>
                <w:rFonts w:ascii="楷体" w:hAnsi="楷体" w:eastAsia="楷体" w:cs="楷体"/>
                <w:b/>
                <w:sz w:val="40"/>
                <w:szCs w:val="40"/>
              </w:rPr>
            </w:pPr>
            <w:r>
              <w:rPr>
                <w:rFonts w:hint="eastAsia" w:ascii="楷体" w:hAnsi="楷体" w:eastAsia="楷体" w:cs="楷体"/>
                <w:b/>
                <w:sz w:val="40"/>
                <w:szCs w:val="40"/>
              </w:rPr>
              <w:t>项目名称</w:t>
            </w:r>
          </w:p>
        </w:tc>
        <w:tc>
          <w:tcPr>
            <w:tcW w:w="2201" w:type="dxa"/>
            <w:vAlign w:val="center"/>
          </w:tcPr>
          <w:p>
            <w:pPr>
              <w:pStyle w:val="4"/>
              <w:ind w:left="0" w:leftChars="0"/>
              <w:jc w:val="center"/>
              <w:rPr>
                <w:rFonts w:ascii="楷体" w:hAnsi="楷体" w:eastAsia="楷体" w:cs="楷体"/>
                <w:b/>
                <w:sz w:val="40"/>
                <w:szCs w:val="40"/>
              </w:rPr>
            </w:pPr>
            <w:r>
              <w:rPr>
                <w:rFonts w:hint="eastAsia" w:ascii="楷体" w:hAnsi="楷体" w:eastAsia="楷体" w:cs="楷体"/>
                <w:b/>
                <w:sz w:val="40"/>
                <w:szCs w:val="40"/>
              </w:rPr>
              <w:t>报告名称</w:t>
            </w:r>
          </w:p>
        </w:tc>
        <w:tc>
          <w:tcPr>
            <w:tcW w:w="1701" w:type="dxa"/>
            <w:vAlign w:val="center"/>
          </w:tcPr>
          <w:p>
            <w:pPr>
              <w:pStyle w:val="4"/>
              <w:ind w:left="0" w:leftChars="0"/>
              <w:jc w:val="center"/>
              <w:rPr>
                <w:rFonts w:ascii="楷体" w:hAnsi="楷体" w:eastAsia="楷体" w:cs="楷体"/>
                <w:b/>
                <w:sz w:val="40"/>
                <w:szCs w:val="40"/>
              </w:rPr>
            </w:pPr>
            <w:r>
              <w:rPr>
                <w:rFonts w:hint="eastAsia" w:ascii="楷体" w:hAnsi="楷体" w:eastAsia="楷体" w:cs="楷体"/>
                <w:b/>
                <w:sz w:val="40"/>
                <w:szCs w:val="40"/>
              </w:rPr>
              <w:t>报价</w:t>
            </w:r>
          </w:p>
        </w:tc>
        <w:tc>
          <w:tcPr>
            <w:tcW w:w="1615" w:type="dxa"/>
          </w:tcPr>
          <w:p>
            <w:pPr>
              <w:pStyle w:val="4"/>
              <w:ind w:left="0" w:leftChars="0"/>
              <w:jc w:val="center"/>
              <w:rPr>
                <w:rFonts w:ascii="楷体" w:hAnsi="楷体" w:eastAsia="楷体" w:cs="楷体"/>
                <w:b/>
                <w:sz w:val="40"/>
                <w:szCs w:val="40"/>
              </w:rPr>
            </w:pPr>
            <w:r>
              <w:rPr>
                <w:rFonts w:hint="eastAsia" w:ascii="楷体" w:hAnsi="楷体" w:eastAsia="楷体" w:cs="楷体"/>
                <w:b/>
                <w:sz w:val="40"/>
                <w:szCs w:val="4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trPr>
        <w:tc>
          <w:tcPr>
            <w:tcW w:w="2727" w:type="dxa"/>
          </w:tcPr>
          <w:p>
            <w:pPr>
              <w:pStyle w:val="4"/>
              <w:ind w:left="0" w:leftChars="0"/>
              <w:rPr>
                <w:rFonts w:hint="eastAsia" w:ascii="仿宋" w:hAnsi="仿宋" w:eastAsia="仿宋" w:cs="仿宋"/>
                <w:sz w:val="32"/>
                <w:szCs w:val="32"/>
                <w:lang w:eastAsia="zh-CN"/>
              </w:rPr>
            </w:pPr>
            <w:r>
              <w:rPr>
                <w:rFonts w:hint="eastAsia" w:ascii="仿宋" w:hAnsi="仿宋" w:eastAsia="仿宋" w:cs="仿宋"/>
                <w:sz w:val="32"/>
                <w:szCs w:val="32"/>
              </w:rPr>
              <w:t>会昌县贡江珠兰采区河道采砂临时上岸点</w:t>
            </w:r>
            <w:r>
              <w:rPr>
                <w:rFonts w:hint="eastAsia" w:ascii="仿宋" w:hAnsi="仿宋" w:eastAsia="仿宋" w:cs="仿宋"/>
                <w:sz w:val="32"/>
                <w:szCs w:val="32"/>
                <w:lang w:eastAsia="zh-CN"/>
              </w:rPr>
              <w:t>编制</w:t>
            </w:r>
            <w:r>
              <w:rPr>
                <w:rFonts w:hint="eastAsia" w:ascii="仿宋" w:hAnsi="仿宋" w:eastAsia="仿宋" w:cs="仿宋"/>
                <w:sz w:val="32"/>
                <w:szCs w:val="32"/>
              </w:rPr>
              <w:t>土地复垦方案</w:t>
            </w:r>
          </w:p>
        </w:tc>
        <w:tc>
          <w:tcPr>
            <w:tcW w:w="2201" w:type="dxa"/>
          </w:tcPr>
          <w:p>
            <w:pPr>
              <w:pStyle w:val="4"/>
              <w:ind w:left="0" w:leftChars="0"/>
              <w:rPr>
                <w:rFonts w:ascii="仿宋" w:hAnsi="仿宋" w:eastAsia="仿宋" w:cs="仿宋"/>
                <w:sz w:val="32"/>
                <w:szCs w:val="32"/>
              </w:rPr>
            </w:pPr>
          </w:p>
          <w:p>
            <w:pPr>
              <w:pStyle w:val="4"/>
              <w:ind w:left="0" w:leftChars="0" w:firstLine="160" w:firstLineChars="50"/>
              <w:rPr>
                <w:rFonts w:ascii="仿宋" w:hAnsi="仿宋" w:eastAsia="仿宋" w:cs="仿宋"/>
                <w:sz w:val="32"/>
                <w:szCs w:val="32"/>
              </w:rPr>
            </w:pPr>
            <w:r>
              <w:rPr>
                <w:rFonts w:hint="eastAsia" w:ascii="仿宋" w:hAnsi="仿宋" w:eastAsia="仿宋" w:cs="仿宋"/>
                <w:sz w:val="32"/>
                <w:szCs w:val="32"/>
              </w:rPr>
              <w:t>土地复垦方案</w:t>
            </w:r>
          </w:p>
        </w:tc>
        <w:tc>
          <w:tcPr>
            <w:tcW w:w="1701" w:type="dxa"/>
          </w:tcPr>
          <w:p>
            <w:pPr>
              <w:pStyle w:val="4"/>
              <w:ind w:left="0" w:leftChars="0"/>
              <w:rPr>
                <w:rFonts w:ascii="仿宋" w:hAnsi="仿宋" w:eastAsia="仿宋" w:cs="仿宋"/>
                <w:sz w:val="32"/>
                <w:szCs w:val="32"/>
              </w:rPr>
            </w:pPr>
          </w:p>
        </w:tc>
        <w:tc>
          <w:tcPr>
            <w:tcW w:w="1615" w:type="dxa"/>
          </w:tcPr>
          <w:p>
            <w:pPr>
              <w:pStyle w:val="4"/>
              <w:ind w:left="0" w:leftChars="0"/>
              <w:jc w:val="center"/>
              <w:rPr>
                <w:rFonts w:ascii="仿宋" w:hAnsi="仿宋" w:eastAsia="仿宋" w:cs="仿宋"/>
                <w:sz w:val="32"/>
                <w:szCs w:val="32"/>
              </w:rPr>
            </w:pPr>
          </w:p>
          <w:p>
            <w:pPr>
              <w:pStyle w:val="4"/>
              <w:ind w:left="0" w:leftChars="0"/>
              <w:jc w:val="center"/>
              <w:rPr>
                <w:rFonts w:ascii="仿宋" w:hAnsi="仿宋" w:eastAsia="仿宋" w:cs="仿宋"/>
                <w:sz w:val="32"/>
                <w:szCs w:val="32"/>
              </w:rPr>
            </w:pPr>
            <w:r>
              <w:rPr>
                <w:rFonts w:hint="eastAsia" w:ascii="仿宋" w:hAnsi="仿宋" w:eastAsia="仿宋" w:cs="仿宋"/>
                <w:sz w:val="32"/>
                <w:szCs w:val="32"/>
              </w:rPr>
              <w:t>含税</w:t>
            </w:r>
          </w:p>
          <w:p>
            <w:pPr>
              <w:pStyle w:val="3"/>
              <w:ind w:firstLine="640"/>
            </w:pPr>
          </w:p>
        </w:tc>
      </w:tr>
    </w:tbl>
    <w:p>
      <w:pPr>
        <w:pStyle w:val="5"/>
        <w:widowControl/>
        <w:spacing w:beforeAutospacing="0" w:afterAutospacing="0" w:line="600" w:lineRule="atLeast"/>
        <w:ind w:firstLine="620" w:firstLineChars="200"/>
        <w:rPr>
          <w:rFonts w:eastAsia="仿宋"/>
        </w:rPr>
      </w:pPr>
      <w:r>
        <w:rPr>
          <w:rFonts w:hint="eastAsia" w:ascii="仿宋" w:hAnsi="仿宋" w:eastAsia="仿宋" w:cs="仿宋"/>
          <w:color w:val="212529"/>
          <w:sz w:val="31"/>
          <w:szCs w:val="31"/>
          <w:shd w:val="clear" w:color="auto" w:fill="FFFFFF"/>
        </w:rPr>
        <w:t>报价单价为包干综合单价，报价单位报价后我公司即视为报价方在报价前已充分进行了现场踏勘、测量及风险评估等所有风险，并确保所编制的土地复垦方案通过主管部门审批。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pPr>
        <w:ind w:firstLine="4480" w:firstLineChars="14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ind w:firstLine="4480" w:firstLineChars="14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日</w:t>
      </w:r>
    </w:p>
    <w:p>
      <w:pPr>
        <w:jc w:val="center"/>
        <w:rPr>
          <w:rFonts w:hint="eastAsia" w:ascii="黑体" w:hAnsi="黑体" w:eastAsia="黑体" w:cs="黑体"/>
          <w:bCs/>
          <w:sz w:val="44"/>
          <w:szCs w:val="44"/>
        </w:rPr>
      </w:pPr>
    </w:p>
    <w:p>
      <w:pPr>
        <w:jc w:val="center"/>
        <w:rPr>
          <w:rFonts w:hint="eastAsia" w:ascii="黑体" w:hAnsi="黑体" w:eastAsia="黑体" w:cs="黑体"/>
          <w:bCs/>
          <w:sz w:val="44"/>
          <w:szCs w:val="44"/>
        </w:rPr>
      </w:pPr>
    </w:p>
    <w:p>
      <w:pPr>
        <w:jc w:val="center"/>
        <w:rPr>
          <w:rFonts w:ascii="仿宋_GB2312" w:hAnsi="仿宋_GB2312" w:eastAsia="仿宋_GB2312" w:cs="仿宋_GB2312"/>
          <w:sz w:val="32"/>
          <w:szCs w:val="32"/>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jc w:val="left"/>
        <w:rPr>
          <w:rFonts w:ascii="仿宋_GB2312" w:hAnsi="仿宋_GB2312" w:eastAsia="仿宋_GB2312" w:cs="仿宋_GB2312"/>
          <w:sz w:val="32"/>
          <w:szCs w:val="32"/>
        </w:rPr>
      </w:pPr>
      <w:r>
        <w:rPr>
          <w:rFonts w:hint="eastAsia" w:ascii="黑体" w:hAnsi="黑体" w:eastAsia="黑体" w:cs="黑体"/>
          <w:bCs/>
          <w:sz w:val="28"/>
          <w:szCs w:val="28"/>
        </w:rPr>
        <w:t xml:space="preserve">   </w:t>
      </w:r>
      <w:r>
        <w:rPr>
          <w:rFonts w:hint="eastAsia" w:ascii="仿宋_GB2312" w:hAnsi="仿宋_GB2312" w:eastAsia="仿宋_GB2312" w:cs="仿宋_GB2312"/>
          <w:sz w:val="32"/>
          <w:szCs w:val="32"/>
        </w:rPr>
        <w:t xml:space="preserve"> 我单位为独立法人单位，我公司主要人员及其直系亲属均未有在会昌县恒茂建设发展集团有限责任公司（包括下属子公司）从业的记录以及不存在控股、管理关系和亲属等利害关系。</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left"/>
        <w:rPr>
          <w:rFonts w:ascii="仿宋_GB2312" w:hAnsi="仿宋_GB2312" w:eastAsia="仿宋_GB2312" w:cs="仿宋_GB2312"/>
          <w:sz w:val="32"/>
          <w:szCs w:val="32"/>
        </w:rPr>
      </w:pPr>
    </w:p>
    <w:p>
      <w:pPr>
        <w:ind w:firstLine="4320" w:firstLineChars="13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p>
      <w:pPr>
        <w:widowControl/>
        <w:spacing w:line="500" w:lineRule="exact"/>
        <w:jc w:val="center"/>
        <w:rPr>
          <w:rFonts w:ascii="宋体" w:hAnsi="宋体"/>
          <w:b/>
          <w:color w:val="000000"/>
          <w:kern w:val="0"/>
          <w:sz w:val="36"/>
          <w:szCs w:val="36"/>
        </w:rPr>
      </w:pPr>
    </w:p>
    <w:p>
      <w:pPr>
        <w:widowControl/>
        <w:spacing w:line="500" w:lineRule="exact"/>
        <w:jc w:val="center"/>
        <w:rPr>
          <w:rFonts w:ascii="宋体" w:hAnsi="宋体"/>
          <w:b/>
          <w:color w:val="000000"/>
          <w:kern w:val="0"/>
          <w:sz w:val="36"/>
          <w:szCs w:val="36"/>
        </w:rPr>
      </w:pPr>
    </w:p>
    <w:p>
      <w:pPr>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0118C9"/>
    <w:multiLevelType w:val="singleLevel"/>
    <w:tmpl w:val="530118C9"/>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wMGRlNjE3MDU3YTZhY2Y0Mjk3MWY5YmJhMmY5YTkifQ=="/>
  </w:docVars>
  <w:rsids>
    <w:rsidRoot w:val="00C1312E"/>
    <w:rsid w:val="000E3309"/>
    <w:rsid w:val="000E785A"/>
    <w:rsid w:val="001A6AAA"/>
    <w:rsid w:val="001B0F78"/>
    <w:rsid w:val="00200826"/>
    <w:rsid w:val="0022793F"/>
    <w:rsid w:val="00231162"/>
    <w:rsid w:val="0026252C"/>
    <w:rsid w:val="00305BF3"/>
    <w:rsid w:val="00307C32"/>
    <w:rsid w:val="00312F4B"/>
    <w:rsid w:val="00334A49"/>
    <w:rsid w:val="00377FD9"/>
    <w:rsid w:val="00397B1A"/>
    <w:rsid w:val="0047586C"/>
    <w:rsid w:val="00477A20"/>
    <w:rsid w:val="004D6342"/>
    <w:rsid w:val="00522A7D"/>
    <w:rsid w:val="00671329"/>
    <w:rsid w:val="00684BC4"/>
    <w:rsid w:val="006F4E52"/>
    <w:rsid w:val="007823D8"/>
    <w:rsid w:val="007F3CCD"/>
    <w:rsid w:val="00885FFC"/>
    <w:rsid w:val="009B18BB"/>
    <w:rsid w:val="009E6118"/>
    <w:rsid w:val="00AC4E3B"/>
    <w:rsid w:val="00B30C40"/>
    <w:rsid w:val="00B31A89"/>
    <w:rsid w:val="00B663A9"/>
    <w:rsid w:val="00BB63B5"/>
    <w:rsid w:val="00C1312E"/>
    <w:rsid w:val="00D71B4B"/>
    <w:rsid w:val="00DE5305"/>
    <w:rsid w:val="00DF62E7"/>
    <w:rsid w:val="00E35C42"/>
    <w:rsid w:val="00EA08B8"/>
    <w:rsid w:val="00F43741"/>
    <w:rsid w:val="00F84538"/>
    <w:rsid w:val="00FA7B19"/>
    <w:rsid w:val="00FD6DEF"/>
    <w:rsid w:val="0394658D"/>
    <w:rsid w:val="09D94AF6"/>
    <w:rsid w:val="0B2D1730"/>
    <w:rsid w:val="0C2357FD"/>
    <w:rsid w:val="0F6B4008"/>
    <w:rsid w:val="12DD7EA1"/>
    <w:rsid w:val="19B12C42"/>
    <w:rsid w:val="1BFB1712"/>
    <w:rsid w:val="1CBD66FD"/>
    <w:rsid w:val="1F5D2BD2"/>
    <w:rsid w:val="23763FD0"/>
    <w:rsid w:val="29B10D91"/>
    <w:rsid w:val="2FF46872"/>
    <w:rsid w:val="317B4234"/>
    <w:rsid w:val="41E77C61"/>
    <w:rsid w:val="4553644D"/>
    <w:rsid w:val="4795043A"/>
    <w:rsid w:val="47F4274D"/>
    <w:rsid w:val="4D46449D"/>
    <w:rsid w:val="4DE16ADC"/>
    <w:rsid w:val="62E8137B"/>
    <w:rsid w:val="6A56064D"/>
    <w:rsid w:val="6FBD756E"/>
    <w:rsid w:val="733F3C8D"/>
    <w:rsid w:val="77720224"/>
    <w:rsid w:val="78E24330"/>
    <w:rsid w:val="79EE1488"/>
    <w:rsid w:val="7D3923AB"/>
    <w:rsid w:val="7DDE4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line="360" w:lineRule="auto"/>
      <w:ind w:firstLine="643" w:firstLineChars="200"/>
      <w:jc w:val="left"/>
      <w:outlineLvl w:val="1"/>
    </w:pPr>
    <w:rPr>
      <w:rFonts w:hint="eastAsia"/>
      <w:b/>
      <w:bCs/>
      <w:kern w:val="0"/>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3"/>
    <w:qFormat/>
    <w:uiPriority w:val="0"/>
    <w:pPr>
      <w:spacing w:after="120"/>
      <w:ind w:left="420" w:leftChars="200"/>
    </w:pPr>
    <w:rPr>
      <w:rFonts w:cs="Times New Roman"/>
    </w:rPr>
  </w:style>
  <w:style w:type="paragraph" w:styleId="5">
    <w:name w:val="Normal (Web)"/>
    <w:basedOn w:val="1"/>
    <w:qFormat/>
    <w:uiPriority w:val="0"/>
    <w:pPr>
      <w:spacing w:beforeAutospacing="1" w:afterAutospacing="1"/>
      <w:jc w:val="left"/>
    </w:pPr>
    <w:rPr>
      <w:rFonts w:cs="Times New Roman" w:asciiTheme="minorHAnsi" w:hAnsiTheme="minorHAnsi" w:eastAsiaTheme="minorEastAsia"/>
      <w:kern w:val="0"/>
      <w:sz w:val="24"/>
    </w:rPr>
  </w:style>
  <w:style w:type="paragraph" w:styleId="6">
    <w:name w:val="Body Text First Indent 2"/>
    <w:basedOn w:val="4"/>
    <w:qFormat/>
    <w:uiPriority w:val="0"/>
    <w:pPr>
      <w:ind w:firstLine="420" w:firstLineChars="2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Emphasis"/>
    <w:basedOn w:val="9"/>
    <w:qFormat/>
    <w:uiPriority w:val="0"/>
    <w:rPr>
      <w:i/>
    </w:rPr>
  </w:style>
  <w:style w:type="character" w:styleId="11">
    <w:name w:val="Hyperlink"/>
    <w:qFormat/>
    <w:uiPriority w:val="0"/>
    <w:rPr>
      <w:color w:val="0000FF"/>
      <w:u w:val="single"/>
    </w:rPr>
  </w:style>
  <w:style w:type="character" w:customStyle="1" w:styleId="12">
    <w:name w:val="font41"/>
    <w:basedOn w:val="9"/>
    <w:qFormat/>
    <w:uiPriority w:val="0"/>
    <w:rPr>
      <w:rFonts w:hint="eastAsia" w:ascii="宋体" w:hAnsi="宋体" w:eastAsia="宋体" w:cs="宋体"/>
      <w:color w:val="000000"/>
      <w:sz w:val="18"/>
      <w:szCs w:val="18"/>
      <w:u w:val="none"/>
    </w:rPr>
  </w:style>
  <w:style w:type="character" w:customStyle="1" w:styleId="13">
    <w:name w:val="font31"/>
    <w:basedOn w:val="9"/>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195</Words>
  <Characters>1116</Characters>
  <Lines>9</Lines>
  <Paragraphs>2</Paragraphs>
  <TotalTime>24</TotalTime>
  <ScaleCrop>false</ScaleCrop>
  <LinksUpToDate>false</LinksUpToDate>
  <CharactersWithSpaces>1309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2023-11-21T02:04:00Z</dcterms:created>
  <dc:creator>Administrator</dc:creator>
  <cp:lastModifiedBy>Administrator</cp:lastModifiedBy>
  <cp:lastPrinted>2023-11-27T03:59:00Z</cp:lastPrinted>
  <dcterms:modified xsi:type="dcterms:W3CDTF">2023-11-30T06:49:06Z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41A364CCA02F48D890078C380335F17A_13</vt:lpwstr>
  </property>
</Properties>
</file>