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b/>
          <w:sz w:val="48"/>
          <w:szCs w:val="48"/>
          <w:lang w:eastAsia="zh-CN"/>
        </w:rPr>
      </w:pPr>
      <w:r>
        <w:rPr>
          <w:rFonts w:hint="eastAsia" w:ascii="宋体" w:hAnsi="宋体"/>
          <w:b/>
          <w:sz w:val="48"/>
          <w:szCs w:val="48"/>
        </w:rPr>
        <w:t>630kVA箱变</w:t>
      </w:r>
      <w:bookmarkStart w:id="0" w:name="_1000990531"/>
      <w:bookmarkEnd w:id="0"/>
      <w:bookmarkStart w:id="1" w:name="_1021292766"/>
      <w:bookmarkEnd w:id="1"/>
      <w:bookmarkStart w:id="2" w:name="_1000990663"/>
      <w:bookmarkEnd w:id="2"/>
      <w:bookmarkStart w:id="3" w:name="_1316670484"/>
      <w:bookmarkEnd w:id="3"/>
      <w:bookmarkStart w:id="4" w:name="_1000990497"/>
      <w:bookmarkEnd w:id="4"/>
      <w:bookmarkStart w:id="5" w:name="_Toc12196"/>
      <w:bookmarkStart w:id="6" w:name="_Toc26913"/>
      <w:bookmarkStart w:id="7" w:name="_Toc25996"/>
      <w:bookmarkStart w:id="8" w:name="_Toc16034"/>
      <w:bookmarkStart w:id="9" w:name="_Toc26744"/>
      <w:bookmarkStart w:id="10" w:name="_Toc18403"/>
      <w:bookmarkStart w:id="11" w:name="_Toc20588"/>
      <w:r>
        <w:rPr>
          <w:rFonts w:hint="eastAsia" w:ascii="宋体" w:hAnsi="宋体"/>
          <w:b/>
          <w:sz w:val="48"/>
          <w:szCs w:val="48"/>
        </w:rPr>
        <w:t>技术</w:t>
      </w:r>
      <w:r>
        <w:rPr>
          <w:rFonts w:hint="eastAsia" w:ascii="宋体" w:hAnsi="宋体"/>
          <w:b/>
          <w:sz w:val="48"/>
          <w:szCs w:val="48"/>
          <w:lang w:eastAsia="zh-CN"/>
        </w:rPr>
        <w:t>规格及技术要求</w:t>
      </w:r>
    </w:p>
    <w:bookmarkEnd w:id="5"/>
    <w:bookmarkEnd w:id="6"/>
    <w:bookmarkEnd w:id="7"/>
    <w:bookmarkEnd w:id="8"/>
    <w:bookmarkEnd w:id="9"/>
    <w:bookmarkEnd w:id="10"/>
    <w:bookmarkEnd w:id="11"/>
    <w:p>
      <w:pPr>
        <w:spacing w:line="360" w:lineRule="auto"/>
        <w:rPr>
          <w:rFonts w:ascii="宋体" w:hAnsi="宋体"/>
          <w:sz w:val="24"/>
          <w:szCs w:val="24"/>
        </w:rPr>
      </w:pPr>
      <w:bookmarkStart w:id="12" w:name="_Toc32759"/>
      <w:bookmarkStart w:id="13" w:name="_Toc5791"/>
      <w:bookmarkStart w:id="14" w:name="_Toc5377"/>
      <w:bookmarkStart w:id="15" w:name="_Toc16084"/>
      <w:bookmarkStart w:id="16" w:name="_Toc25508"/>
      <w:bookmarkStart w:id="17" w:name="_Toc4840"/>
      <w:bookmarkStart w:id="18" w:name="_Toc28840"/>
      <w:r>
        <w:rPr>
          <w:rFonts w:hint="eastAsia" w:ascii="宋体" w:hAnsi="宋体"/>
          <w:b/>
          <w:sz w:val="24"/>
          <w:szCs w:val="24"/>
          <w:lang w:val="en-US" w:eastAsia="zh-CN"/>
        </w:rPr>
        <w:t>1</w:t>
      </w:r>
      <w:r>
        <w:rPr>
          <w:rFonts w:hint="eastAsia" w:ascii="宋体" w:hAnsi="宋体"/>
          <w:b/>
          <w:sz w:val="24"/>
          <w:szCs w:val="24"/>
        </w:rPr>
        <w:t>.技术要求</w:t>
      </w:r>
      <w:bookmarkEnd w:id="12"/>
      <w:bookmarkEnd w:id="13"/>
      <w:bookmarkEnd w:id="14"/>
      <w:bookmarkEnd w:id="15"/>
      <w:bookmarkEnd w:id="16"/>
      <w:bookmarkEnd w:id="17"/>
      <w:bookmarkEnd w:id="18"/>
    </w:p>
    <w:p>
      <w:pPr>
        <w:spacing w:line="360" w:lineRule="auto"/>
        <w:rPr>
          <w:rFonts w:ascii="宋体" w:hAnsi="宋体"/>
          <w:b/>
          <w:sz w:val="24"/>
          <w:szCs w:val="24"/>
        </w:rPr>
      </w:pPr>
      <w:r>
        <w:rPr>
          <w:rFonts w:hint="eastAsia" w:ascii="宋体" w:hAnsi="宋体"/>
          <w:b/>
          <w:sz w:val="24"/>
          <w:szCs w:val="24"/>
          <w:lang w:val="en-US" w:eastAsia="zh-CN"/>
        </w:rPr>
        <w:t>1</w:t>
      </w:r>
      <w:r>
        <w:rPr>
          <w:rFonts w:hint="eastAsia" w:ascii="宋体" w:hAnsi="宋体"/>
          <w:b/>
          <w:sz w:val="24"/>
          <w:szCs w:val="24"/>
        </w:rPr>
        <w:t>.1母线、电缆、电线颜色要求</w:t>
      </w:r>
    </w:p>
    <w:p>
      <w:pPr>
        <w:spacing w:line="360" w:lineRule="auto"/>
        <w:ind w:firstLine="480"/>
        <w:rPr>
          <w:rFonts w:ascii="宋体" w:hAnsi="宋体"/>
          <w:sz w:val="24"/>
          <w:szCs w:val="24"/>
        </w:rPr>
      </w:pPr>
      <w:r>
        <w:rPr>
          <w:rFonts w:hint="eastAsia" w:ascii="宋体" w:hAnsi="宋体"/>
          <w:sz w:val="24"/>
          <w:szCs w:val="24"/>
        </w:rPr>
        <w:t>箱变内所有一次母排均需镀锡处理并套热缩套管，套管颜色为：A相（黄色</w:t>
      </w:r>
      <w:r>
        <w:rPr>
          <w:rFonts w:ascii="宋体" w:hAnsi="宋体"/>
          <w:sz w:val="24"/>
          <w:szCs w:val="24"/>
        </w:rPr>
        <w:t>）</w:t>
      </w:r>
      <w:r>
        <w:rPr>
          <w:rFonts w:hint="eastAsia" w:ascii="宋体" w:hAnsi="宋体"/>
          <w:sz w:val="24"/>
          <w:szCs w:val="24"/>
        </w:rPr>
        <w:t>、B相（绿色）、C相（红色）。</w:t>
      </w:r>
    </w:p>
    <w:p>
      <w:pPr>
        <w:spacing w:line="360" w:lineRule="auto"/>
        <w:rPr>
          <w:rFonts w:ascii="宋体" w:hAnsi="宋体"/>
          <w:b/>
          <w:sz w:val="24"/>
          <w:szCs w:val="24"/>
        </w:rPr>
      </w:pPr>
      <w:r>
        <w:rPr>
          <w:rFonts w:hint="eastAsia" w:ascii="宋体" w:hAnsi="宋体"/>
          <w:b/>
          <w:sz w:val="24"/>
          <w:szCs w:val="24"/>
          <w:lang w:val="en-US" w:eastAsia="zh-CN"/>
        </w:rPr>
        <w:t>1</w:t>
      </w:r>
      <w:r>
        <w:rPr>
          <w:rFonts w:hint="eastAsia" w:ascii="宋体" w:hAnsi="宋体"/>
          <w:b/>
          <w:sz w:val="24"/>
          <w:szCs w:val="24"/>
        </w:rPr>
        <w:t>.2高压开关柜技术要求：</w:t>
      </w:r>
      <w:r>
        <w:rPr>
          <w:rFonts w:ascii="宋体" w:hAnsi="宋体"/>
          <w:b/>
          <w:sz w:val="24"/>
          <w:szCs w:val="24"/>
        </w:rPr>
        <w:t xml:space="preserve"> </w:t>
      </w:r>
    </w:p>
    <w:p>
      <w:pPr>
        <w:spacing w:line="360" w:lineRule="auto"/>
        <w:rPr>
          <w:rFonts w:ascii="宋体" w:hAnsi="宋体"/>
          <w:sz w:val="24"/>
        </w:rPr>
      </w:pPr>
      <w:r>
        <w:rPr>
          <w:rFonts w:hint="eastAsia" w:ascii="宋体" w:hAnsi="宋体"/>
          <w:sz w:val="24"/>
          <w:lang w:val="en-US" w:eastAsia="zh-CN"/>
        </w:rPr>
        <w:t>1</w:t>
      </w:r>
      <w:r>
        <w:rPr>
          <w:rFonts w:hint="eastAsia" w:ascii="宋体" w:hAnsi="宋体"/>
          <w:sz w:val="24"/>
        </w:rPr>
        <w:t>.2.1  主要电气参数</w:t>
      </w:r>
    </w:p>
    <w:p>
      <w:pPr>
        <w:spacing w:line="360" w:lineRule="auto"/>
        <w:rPr>
          <w:rFonts w:ascii="宋体" w:hAnsi="宋体"/>
          <w:sz w:val="24"/>
        </w:rPr>
      </w:pPr>
      <w:r>
        <w:rPr>
          <w:rFonts w:hint="eastAsia" w:ascii="宋体" w:hAnsi="宋体"/>
          <w:sz w:val="24"/>
          <w:lang w:val="en-US" w:eastAsia="zh-CN"/>
        </w:rPr>
        <w:t>1</w:t>
      </w:r>
      <w:r>
        <w:rPr>
          <w:rFonts w:hint="eastAsia" w:ascii="宋体" w:hAnsi="宋体"/>
          <w:sz w:val="24"/>
        </w:rPr>
        <w:t>.2.1.1 型式：HXGN</w:t>
      </w:r>
      <w:r>
        <w:rPr>
          <w:rFonts w:ascii="宋体" w:hAnsi="宋体"/>
          <w:sz w:val="24"/>
        </w:rPr>
        <w:t>-12</w:t>
      </w:r>
      <w:r>
        <w:rPr>
          <w:rFonts w:hint="eastAsia" w:ascii="宋体" w:hAnsi="宋体"/>
          <w:sz w:val="24"/>
        </w:rPr>
        <w:t xml:space="preserve">系列12kV户内空气绝缘环网柜 </w:t>
      </w:r>
    </w:p>
    <w:p>
      <w:pPr>
        <w:spacing w:line="360" w:lineRule="auto"/>
        <w:rPr>
          <w:rFonts w:ascii="宋体" w:hAnsi="宋体"/>
          <w:sz w:val="24"/>
        </w:rPr>
      </w:pPr>
      <w:r>
        <w:rPr>
          <w:rFonts w:hint="eastAsia" w:ascii="宋体" w:hAnsi="宋体"/>
          <w:sz w:val="24"/>
          <w:lang w:eastAsia="zh-CN"/>
        </w:rPr>
        <w:t>1.</w:t>
      </w:r>
      <w:r>
        <w:rPr>
          <w:rFonts w:hint="eastAsia" w:ascii="宋体" w:hAnsi="宋体"/>
          <w:sz w:val="24"/>
        </w:rPr>
        <w:t>2.1.2 额定电压：12kV</w:t>
      </w:r>
    </w:p>
    <w:p>
      <w:pPr>
        <w:spacing w:line="360" w:lineRule="auto"/>
        <w:rPr>
          <w:rFonts w:ascii="宋体" w:hAnsi="宋体"/>
          <w:sz w:val="24"/>
        </w:rPr>
      </w:pPr>
      <w:r>
        <w:rPr>
          <w:rFonts w:hint="eastAsia" w:ascii="宋体" w:hAnsi="宋体"/>
          <w:sz w:val="24"/>
          <w:lang w:eastAsia="zh-CN"/>
        </w:rPr>
        <w:t>1.</w:t>
      </w:r>
      <w:r>
        <w:rPr>
          <w:rFonts w:hint="eastAsia" w:ascii="宋体" w:hAnsi="宋体"/>
          <w:sz w:val="24"/>
        </w:rPr>
        <w:t>2.1.3 额定频率：50Hz</w:t>
      </w:r>
    </w:p>
    <w:p>
      <w:pPr>
        <w:spacing w:line="360" w:lineRule="auto"/>
        <w:rPr>
          <w:rFonts w:ascii="宋体" w:hAnsi="宋体"/>
          <w:sz w:val="24"/>
        </w:rPr>
      </w:pPr>
      <w:r>
        <w:rPr>
          <w:rFonts w:hint="eastAsia" w:ascii="宋体" w:hAnsi="宋体"/>
          <w:sz w:val="24"/>
          <w:lang w:eastAsia="zh-CN"/>
        </w:rPr>
        <w:t>1.</w:t>
      </w:r>
      <w:r>
        <w:rPr>
          <w:rFonts w:hint="eastAsia" w:ascii="宋体" w:hAnsi="宋体"/>
          <w:sz w:val="24"/>
        </w:rPr>
        <w:t>2.1.4 额定电流：630A</w:t>
      </w:r>
    </w:p>
    <w:p>
      <w:pPr>
        <w:spacing w:line="360" w:lineRule="auto"/>
        <w:rPr>
          <w:rFonts w:ascii="宋体" w:hAnsi="宋体"/>
          <w:sz w:val="24"/>
        </w:rPr>
      </w:pPr>
      <w:r>
        <w:rPr>
          <w:rFonts w:hint="eastAsia" w:ascii="宋体" w:hAnsi="宋体"/>
          <w:sz w:val="24"/>
          <w:lang w:eastAsia="zh-CN"/>
        </w:rPr>
        <w:t>1.</w:t>
      </w:r>
      <w:r>
        <w:rPr>
          <w:rFonts w:hint="eastAsia" w:ascii="宋体" w:hAnsi="宋体"/>
          <w:sz w:val="24"/>
        </w:rPr>
        <w:t>2.1.5 额定热稳定电流（4s，有效值）：20kA</w:t>
      </w:r>
    </w:p>
    <w:p>
      <w:pPr>
        <w:spacing w:line="360" w:lineRule="auto"/>
        <w:rPr>
          <w:rFonts w:ascii="宋体" w:hAnsi="宋体"/>
          <w:sz w:val="24"/>
        </w:rPr>
      </w:pPr>
      <w:r>
        <w:rPr>
          <w:rFonts w:hint="eastAsia" w:ascii="宋体" w:hAnsi="宋体"/>
          <w:sz w:val="24"/>
          <w:lang w:eastAsia="zh-CN"/>
        </w:rPr>
        <w:t>1.</w:t>
      </w:r>
      <w:r>
        <w:rPr>
          <w:rFonts w:hint="eastAsia" w:ascii="宋体" w:hAnsi="宋体"/>
          <w:sz w:val="24"/>
        </w:rPr>
        <w:t>2.1.6 额定动稳定电流（峰值）：50kA</w:t>
      </w:r>
    </w:p>
    <w:p>
      <w:pPr>
        <w:spacing w:line="360" w:lineRule="auto"/>
        <w:ind w:left="1"/>
        <w:rPr>
          <w:rFonts w:ascii="宋体" w:hAnsi="宋体"/>
          <w:sz w:val="24"/>
        </w:rPr>
      </w:pPr>
      <w:r>
        <w:rPr>
          <w:rFonts w:hint="eastAsia" w:ascii="宋体" w:hAnsi="宋体"/>
          <w:sz w:val="24"/>
          <w:lang w:eastAsia="zh-CN"/>
        </w:rPr>
        <w:t>1.</w:t>
      </w:r>
      <w:r>
        <w:rPr>
          <w:rFonts w:hint="eastAsia" w:ascii="宋体" w:hAnsi="宋体"/>
          <w:sz w:val="24"/>
        </w:rPr>
        <w:t>2.1.7 柜体及开关设备的绝缘水平：</w:t>
      </w:r>
    </w:p>
    <w:p>
      <w:pPr>
        <w:spacing w:line="360" w:lineRule="auto"/>
        <w:ind w:firstLine="480" w:firstLineChars="200"/>
        <w:rPr>
          <w:rFonts w:ascii="宋体" w:hAnsi="宋体"/>
          <w:sz w:val="24"/>
        </w:rPr>
      </w:pPr>
      <w:r>
        <w:rPr>
          <w:rFonts w:hint="eastAsia" w:ascii="宋体" w:hAnsi="宋体"/>
          <w:sz w:val="24"/>
        </w:rPr>
        <w:t>a) 工频耐压（1分钟，有效值）42kV</w:t>
      </w:r>
    </w:p>
    <w:p>
      <w:pPr>
        <w:spacing w:line="360" w:lineRule="auto"/>
        <w:ind w:firstLine="480" w:firstLineChars="200"/>
        <w:rPr>
          <w:rFonts w:ascii="宋体" w:hAnsi="宋体"/>
          <w:sz w:val="24"/>
        </w:rPr>
      </w:pPr>
      <w:r>
        <w:rPr>
          <w:rFonts w:hint="eastAsia" w:ascii="宋体" w:hAnsi="宋体"/>
          <w:sz w:val="24"/>
        </w:rPr>
        <w:t>b) 雷电冲击耐压（峰值）75kV</w:t>
      </w:r>
    </w:p>
    <w:p>
      <w:pPr>
        <w:spacing w:line="360" w:lineRule="auto"/>
        <w:ind w:left="1"/>
        <w:rPr>
          <w:rFonts w:ascii="宋体" w:hAnsi="宋体"/>
          <w:sz w:val="24"/>
        </w:rPr>
      </w:pPr>
      <w:r>
        <w:rPr>
          <w:rFonts w:hint="eastAsia" w:ascii="宋体" w:hAnsi="宋体"/>
          <w:sz w:val="24"/>
          <w:lang w:eastAsia="zh-CN"/>
        </w:rPr>
        <w:t>1.</w:t>
      </w:r>
      <w:r>
        <w:rPr>
          <w:rFonts w:hint="eastAsia" w:ascii="宋体" w:hAnsi="宋体"/>
          <w:sz w:val="24"/>
        </w:rPr>
        <w:t>2.1.8 辅助回路的额定电压：</w:t>
      </w:r>
    </w:p>
    <w:p>
      <w:pPr>
        <w:spacing w:line="360" w:lineRule="auto"/>
        <w:ind w:left="1" w:firstLine="837" w:firstLineChars="349"/>
        <w:rPr>
          <w:rFonts w:ascii="宋体" w:hAnsi="宋体"/>
          <w:sz w:val="24"/>
        </w:rPr>
      </w:pPr>
      <w:r>
        <w:rPr>
          <w:rFonts w:hint="eastAsia" w:ascii="宋体" w:hAnsi="宋体"/>
          <w:sz w:val="24"/>
        </w:rPr>
        <w:t>辅助回路 AC/DC 220V</w:t>
      </w:r>
    </w:p>
    <w:p>
      <w:pPr>
        <w:spacing w:line="360" w:lineRule="auto"/>
        <w:rPr>
          <w:rFonts w:ascii="宋体" w:hAnsi="宋体"/>
          <w:sz w:val="24"/>
        </w:rPr>
      </w:pPr>
      <w:r>
        <w:rPr>
          <w:rFonts w:hint="eastAsia" w:ascii="宋体" w:hAnsi="宋体"/>
          <w:sz w:val="24"/>
          <w:lang w:eastAsia="zh-CN"/>
        </w:rPr>
        <w:t>1.</w:t>
      </w:r>
      <w:r>
        <w:rPr>
          <w:rFonts w:hint="eastAsia" w:ascii="宋体" w:hAnsi="宋体"/>
          <w:sz w:val="24"/>
        </w:rPr>
        <w:t xml:space="preserve">2.2 </w:t>
      </w:r>
      <w:r>
        <w:rPr>
          <w:rFonts w:hint="eastAsia" w:ascii="宋体" w:hAnsi="宋体"/>
          <w:sz w:val="24"/>
        </w:rPr>
        <w:tab/>
      </w:r>
      <w:r>
        <w:rPr>
          <w:rFonts w:hint="eastAsia" w:ascii="宋体" w:hAnsi="宋体"/>
          <w:sz w:val="24"/>
        </w:rPr>
        <w:t xml:space="preserve">避雷器 </w:t>
      </w:r>
    </w:p>
    <w:p>
      <w:pPr>
        <w:spacing w:line="360" w:lineRule="auto"/>
        <w:rPr>
          <w:rFonts w:ascii="宋体" w:hAnsi="宋体"/>
          <w:sz w:val="24"/>
        </w:rPr>
      </w:pPr>
      <w:r>
        <w:rPr>
          <w:rFonts w:hint="eastAsia" w:ascii="宋体" w:hAnsi="宋体"/>
          <w:sz w:val="24"/>
          <w:lang w:eastAsia="zh-CN"/>
        </w:rPr>
        <w:t>1.</w:t>
      </w:r>
      <w:r>
        <w:rPr>
          <w:rFonts w:hint="eastAsia" w:ascii="宋体" w:hAnsi="宋体"/>
          <w:sz w:val="24"/>
        </w:rPr>
        <w:t>2.2.1 HY5W系列氧化锌避雷器。</w:t>
      </w:r>
    </w:p>
    <w:p>
      <w:pPr>
        <w:spacing w:line="360" w:lineRule="auto"/>
        <w:rPr>
          <w:rFonts w:ascii="宋体" w:hAnsi="宋体"/>
          <w:sz w:val="24"/>
        </w:rPr>
      </w:pPr>
      <w:r>
        <w:rPr>
          <w:rFonts w:hint="eastAsia" w:ascii="宋体" w:hAnsi="宋体"/>
          <w:sz w:val="24"/>
          <w:lang w:eastAsia="zh-CN"/>
        </w:rPr>
        <w:t>1.</w:t>
      </w:r>
      <w:r>
        <w:rPr>
          <w:rFonts w:hint="eastAsia" w:ascii="宋体" w:hAnsi="宋体"/>
          <w:sz w:val="24"/>
        </w:rPr>
        <w:t>2.2.2 额定电压：12kV</w:t>
      </w:r>
    </w:p>
    <w:p>
      <w:pPr>
        <w:spacing w:line="360" w:lineRule="auto"/>
        <w:rPr>
          <w:rFonts w:ascii="宋体" w:hAnsi="宋体"/>
          <w:sz w:val="24"/>
        </w:rPr>
      </w:pPr>
      <w:r>
        <w:rPr>
          <w:rFonts w:hint="eastAsia" w:ascii="宋体" w:hAnsi="宋体"/>
          <w:sz w:val="24"/>
          <w:lang w:eastAsia="zh-CN"/>
        </w:rPr>
        <w:t>1.</w:t>
      </w:r>
      <w:r>
        <w:rPr>
          <w:rFonts w:hint="eastAsia" w:ascii="宋体" w:hAnsi="宋体"/>
          <w:sz w:val="24"/>
        </w:rPr>
        <w:t>2.2.3 最大持续运行电压：13.6kV</w:t>
      </w:r>
    </w:p>
    <w:p>
      <w:pPr>
        <w:spacing w:line="360" w:lineRule="auto"/>
        <w:rPr>
          <w:rFonts w:ascii="宋体" w:hAnsi="宋体"/>
          <w:sz w:val="24"/>
        </w:rPr>
      </w:pPr>
      <w:r>
        <w:rPr>
          <w:rFonts w:hint="eastAsia" w:ascii="宋体" w:hAnsi="宋体"/>
          <w:sz w:val="24"/>
        </w:rPr>
        <w:tab/>
      </w:r>
      <w:r>
        <w:rPr>
          <w:rFonts w:hint="eastAsia" w:ascii="宋体" w:hAnsi="宋体"/>
          <w:sz w:val="24"/>
        </w:rPr>
        <w:t xml:space="preserve">    雷电冲击电流为5kA时的残压（8/20μs）：≤45kV峰值  </w:t>
      </w:r>
    </w:p>
    <w:p>
      <w:pPr>
        <w:spacing w:line="360" w:lineRule="auto"/>
        <w:rPr>
          <w:rFonts w:ascii="宋体" w:hAnsi="宋体"/>
          <w:sz w:val="24"/>
        </w:rPr>
      </w:pPr>
      <w:r>
        <w:rPr>
          <w:rFonts w:hint="eastAsia" w:ascii="宋体" w:hAnsi="宋体"/>
          <w:sz w:val="24"/>
          <w:lang w:eastAsia="zh-CN"/>
        </w:rPr>
        <w:t>1.</w:t>
      </w:r>
      <w:r>
        <w:rPr>
          <w:rFonts w:hint="eastAsia" w:ascii="宋体" w:hAnsi="宋体"/>
          <w:sz w:val="24"/>
        </w:rPr>
        <w:t>2.2.4 2ms方波通流容量：150A</w:t>
      </w:r>
    </w:p>
    <w:p>
      <w:pPr>
        <w:spacing w:line="360" w:lineRule="auto"/>
        <w:rPr>
          <w:rFonts w:ascii="宋体" w:hAnsi="宋体"/>
          <w:sz w:val="24"/>
        </w:rPr>
      </w:pPr>
      <w:r>
        <w:rPr>
          <w:rFonts w:hint="eastAsia" w:ascii="宋体" w:hAnsi="宋体"/>
          <w:sz w:val="24"/>
          <w:lang w:eastAsia="zh-CN"/>
        </w:rPr>
        <w:t>1.</w:t>
      </w:r>
      <w:r>
        <w:rPr>
          <w:rFonts w:hint="eastAsia" w:ascii="宋体" w:hAnsi="宋体"/>
          <w:sz w:val="24"/>
        </w:rPr>
        <w:t>2.3</w:t>
      </w:r>
      <w:r>
        <w:rPr>
          <w:rFonts w:hint="eastAsia" w:ascii="宋体" w:hAnsi="宋体"/>
          <w:sz w:val="24"/>
        </w:rPr>
        <w:tab/>
      </w:r>
      <w:r>
        <w:rPr>
          <w:rFonts w:hint="eastAsia" w:ascii="宋体" w:hAnsi="宋体"/>
          <w:sz w:val="24"/>
        </w:rPr>
        <w:t>接地开关</w:t>
      </w:r>
    </w:p>
    <w:p>
      <w:pPr>
        <w:spacing w:line="360" w:lineRule="auto"/>
        <w:ind w:left="1"/>
        <w:rPr>
          <w:rFonts w:ascii="宋体" w:hAnsi="宋体"/>
          <w:sz w:val="24"/>
        </w:rPr>
      </w:pPr>
      <w:r>
        <w:rPr>
          <w:rFonts w:hint="eastAsia" w:ascii="宋体" w:hAnsi="宋体"/>
          <w:sz w:val="24"/>
          <w:lang w:eastAsia="zh-CN"/>
        </w:rPr>
        <w:t>1.</w:t>
      </w:r>
      <w:r>
        <w:rPr>
          <w:rFonts w:hint="eastAsia" w:ascii="宋体" w:hAnsi="宋体"/>
          <w:sz w:val="24"/>
        </w:rPr>
        <w:t>2.3.1 型式：接地开关或组合电器中的接地开关</w:t>
      </w:r>
    </w:p>
    <w:p>
      <w:pPr>
        <w:spacing w:line="360" w:lineRule="auto"/>
        <w:ind w:left="1"/>
        <w:rPr>
          <w:rFonts w:ascii="宋体" w:hAnsi="宋体"/>
          <w:sz w:val="24"/>
        </w:rPr>
      </w:pPr>
      <w:r>
        <w:rPr>
          <w:rFonts w:hint="eastAsia" w:ascii="宋体" w:hAnsi="宋体"/>
          <w:sz w:val="24"/>
          <w:lang w:eastAsia="zh-CN"/>
        </w:rPr>
        <w:t>1.</w:t>
      </w:r>
      <w:r>
        <w:rPr>
          <w:rFonts w:hint="eastAsia" w:ascii="宋体" w:hAnsi="宋体"/>
          <w:sz w:val="24"/>
        </w:rPr>
        <w:t>2.3.2 额定电压：12kV</w:t>
      </w:r>
    </w:p>
    <w:p>
      <w:pPr>
        <w:spacing w:line="360" w:lineRule="auto"/>
        <w:ind w:left="1" w:hanging="1"/>
        <w:rPr>
          <w:rFonts w:ascii="宋体" w:hAnsi="宋体"/>
          <w:sz w:val="24"/>
        </w:rPr>
      </w:pPr>
      <w:r>
        <w:rPr>
          <w:rFonts w:hint="eastAsia" w:ascii="宋体" w:hAnsi="宋体"/>
          <w:sz w:val="24"/>
          <w:lang w:eastAsia="zh-CN"/>
        </w:rPr>
        <w:t>1.</w:t>
      </w:r>
      <w:r>
        <w:rPr>
          <w:rFonts w:hint="eastAsia" w:ascii="宋体" w:hAnsi="宋体"/>
          <w:sz w:val="24"/>
        </w:rPr>
        <w:t>2.4 其它要求</w:t>
      </w:r>
    </w:p>
    <w:p>
      <w:pPr>
        <w:spacing w:line="360" w:lineRule="auto"/>
        <w:ind w:left="1" w:hanging="1"/>
        <w:rPr>
          <w:rFonts w:ascii="宋体" w:hAnsi="宋体"/>
          <w:sz w:val="24"/>
        </w:rPr>
      </w:pPr>
      <w:r>
        <w:rPr>
          <w:rFonts w:hint="eastAsia" w:ascii="宋体" w:hAnsi="宋体"/>
          <w:sz w:val="24"/>
          <w:lang w:eastAsia="zh-CN"/>
        </w:rPr>
        <w:t>1.</w:t>
      </w:r>
      <w:r>
        <w:rPr>
          <w:rFonts w:hint="eastAsia" w:ascii="宋体" w:hAnsi="宋体"/>
          <w:sz w:val="24"/>
        </w:rPr>
        <w:t>2.</w:t>
      </w:r>
      <w:r>
        <w:rPr>
          <w:rFonts w:hint="eastAsia" w:ascii="宋体" w:hAnsi="宋体"/>
          <w:sz w:val="24"/>
          <w:lang w:val="en-US" w:eastAsia="zh-CN"/>
        </w:rPr>
        <w:t>4</w:t>
      </w:r>
      <w:r>
        <w:rPr>
          <w:rFonts w:hint="eastAsia" w:ascii="宋体" w:hAnsi="宋体"/>
          <w:sz w:val="24"/>
          <w:lang w:eastAsia="zh-CN"/>
        </w:rPr>
        <w:t>.</w:t>
      </w:r>
      <w:r>
        <w:rPr>
          <w:rFonts w:hint="eastAsia" w:ascii="宋体" w:hAnsi="宋体"/>
          <w:sz w:val="24"/>
        </w:rPr>
        <w:t>1</w:t>
      </w:r>
      <w:bookmarkStart w:id="19" w:name="_Toc30221432"/>
      <w:bookmarkStart w:id="20" w:name="_Toc488397637"/>
      <w:bookmarkStart w:id="21" w:name="_Toc495388762"/>
      <w:bookmarkStart w:id="22" w:name="_Toc480734725"/>
      <w:bookmarkStart w:id="23" w:name="_Toc520895377"/>
      <w:bookmarkStart w:id="24" w:name="_Toc520894212"/>
      <w:bookmarkStart w:id="25" w:name="_Toc520894613"/>
      <w:bookmarkStart w:id="26" w:name="_Toc482884069"/>
      <w:r>
        <w:rPr>
          <w:rFonts w:hint="eastAsia" w:ascii="宋体" w:hAnsi="宋体"/>
          <w:sz w:val="24"/>
        </w:rPr>
        <w:t xml:space="preserve"> </w:t>
      </w:r>
      <w:bookmarkEnd w:id="19"/>
      <w:bookmarkEnd w:id="20"/>
      <w:bookmarkEnd w:id="21"/>
      <w:bookmarkEnd w:id="22"/>
      <w:bookmarkEnd w:id="23"/>
      <w:bookmarkEnd w:id="24"/>
      <w:bookmarkEnd w:id="25"/>
      <w:bookmarkEnd w:id="26"/>
      <w:r>
        <w:rPr>
          <w:rFonts w:hint="eastAsia" w:ascii="宋体" w:hAnsi="宋体"/>
          <w:sz w:val="24"/>
        </w:rPr>
        <w:t>柜体</w:t>
      </w:r>
    </w:p>
    <w:p>
      <w:pPr>
        <w:spacing w:line="360" w:lineRule="auto"/>
        <w:ind w:left="1" w:firstLine="480" w:firstLineChars="200"/>
        <w:rPr>
          <w:rFonts w:ascii="宋体" w:hAnsi="宋体"/>
          <w:sz w:val="24"/>
        </w:rPr>
      </w:pPr>
      <w:r>
        <w:rPr>
          <w:rFonts w:hint="eastAsia" w:ascii="宋体" w:hAnsi="宋体"/>
          <w:sz w:val="24"/>
        </w:rPr>
        <w:t>a)开关柜采用空气绝缘，柜体颜色RAL7035。</w:t>
      </w:r>
    </w:p>
    <w:p>
      <w:pPr>
        <w:spacing w:line="360" w:lineRule="auto"/>
        <w:ind w:firstLine="480" w:firstLineChars="200"/>
        <w:rPr>
          <w:rFonts w:ascii="宋体" w:hAnsi="宋体"/>
          <w:sz w:val="24"/>
        </w:rPr>
      </w:pPr>
      <w:r>
        <w:rPr>
          <w:rFonts w:hint="eastAsia" w:ascii="宋体" w:hAnsi="宋体"/>
          <w:sz w:val="24"/>
        </w:rPr>
        <w:t>b) 柜体的防护等级：</w:t>
      </w:r>
    </w:p>
    <w:p>
      <w:pPr>
        <w:spacing w:line="360" w:lineRule="auto"/>
        <w:ind w:firstLine="480" w:firstLineChars="200"/>
        <w:rPr>
          <w:rFonts w:ascii="宋体" w:hAnsi="宋体"/>
          <w:sz w:val="24"/>
        </w:rPr>
      </w:pPr>
      <w:r>
        <w:rPr>
          <w:rFonts w:hint="eastAsia" w:ascii="宋体" w:hAnsi="宋体"/>
          <w:sz w:val="24"/>
        </w:rPr>
        <w:t>操作机构及低压箱体：IP4X</w:t>
      </w:r>
    </w:p>
    <w:p>
      <w:pPr>
        <w:spacing w:line="360" w:lineRule="auto"/>
        <w:rPr>
          <w:rFonts w:ascii="宋体" w:hAnsi="宋体"/>
          <w:sz w:val="24"/>
        </w:rPr>
      </w:pPr>
      <w:bookmarkStart w:id="27" w:name="_Toc520894614"/>
      <w:bookmarkStart w:id="28" w:name="_Toc30221434"/>
      <w:bookmarkStart w:id="29" w:name="_Toc495388763"/>
      <w:bookmarkStart w:id="30" w:name="_Toc520894213"/>
      <w:bookmarkStart w:id="31" w:name="_Toc520895378"/>
      <w:r>
        <w:rPr>
          <w:rFonts w:hint="eastAsia" w:ascii="宋体" w:hAnsi="宋体"/>
          <w:sz w:val="24"/>
          <w:lang w:eastAsia="zh-CN"/>
        </w:rPr>
        <w:t>1.</w:t>
      </w:r>
      <w:r>
        <w:rPr>
          <w:rFonts w:hint="eastAsia" w:ascii="宋体" w:hAnsi="宋体"/>
          <w:sz w:val="24"/>
        </w:rPr>
        <w:t>2.</w:t>
      </w:r>
      <w:r>
        <w:rPr>
          <w:rFonts w:hint="eastAsia" w:ascii="宋体" w:hAnsi="宋体"/>
          <w:sz w:val="24"/>
          <w:lang w:val="en-US" w:eastAsia="zh-CN"/>
        </w:rPr>
        <w:t>4</w:t>
      </w:r>
      <w:r>
        <w:rPr>
          <w:rFonts w:hint="eastAsia" w:ascii="宋体" w:hAnsi="宋体"/>
          <w:sz w:val="24"/>
          <w:lang w:eastAsia="zh-CN"/>
        </w:rPr>
        <w:t>.</w:t>
      </w:r>
      <w:r>
        <w:rPr>
          <w:rFonts w:hint="eastAsia" w:ascii="宋体" w:hAnsi="宋体"/>
          <w:sz w:val="24"/>
        </w:rPr>
        <w:t>2 隔板</w:t>
      </w:r>
      <w:bookmarkEnd w:id="27"/>
      <w:bookmarkEnd w:id="28"/>
      <w:bookmarkEnd w:id="29"/>
      <w:bookmarkEnd w:id="30"/>
      <w:bookmarkEnd w:id="31"/>
    </w:p>
    <w:p>
      <w:pPr>
        <w:spacing w:line="360" w:lineRule="auto"/>
        <w:ind w:firstLine="480" w:firstLineChars="200"/>
        <w:rPr>
          <w:rFonts w:ascii="宋体" w:hAnsi="宋体"/>
          <w:sz w:val="24"/>
        </w:rPr>
      </w:pPr>
      <w:r>
        <w:rPr>
          <w:rFonts w:hint="eastAsia" w:ascii="宋体" w:hAnsi="宋体"/>
          <w:sz w:val="24"/>
        </w:rPr>
        <w:t>a) 隔板由金属或绝缘材料制成，应有保证人身安全的接地等措施。</w:t>
      </w:r>
    </w:p>
    <w:p>
      <w:pPr>
        <w:spacing w:line="360" w:lineRule="auto"/>
        <w:ind w:firstLine="480" w:firstLineChars="200"/>
        <w:rPr>
          <w:rFonts w:ascii="宋体" w:hAnsi="宋体"/>
          <w:sz w:val="24"/>
        </w:rPr>
      </w:pPr>
      <w:r>
        <w:rPr>
          <w:rFonts w:hint="eastAsia" w:ascii="宋体" w:hAnsi="宋体"/>
          <w:sz w:val="24"/>
        </w:rPr>
        <w:t>b) 当相邻隔室因漏气或维修作业而使压力下降时，隔板能确保本隔室绝缘性能不发生显著变化；对相邻隔室还存在的正常气体压力，隔板应保证机械安全性。</w:t>
      </w:r>
      <w:bookmarkStart w:id="32" w:name="_Toc520895379"/>
      <w:bookmarkStart w:id="33" w:name="_Toc495388764"/>
      <w:bookmarkStart w:id="34" w:name="_Toc520894615"/>
      <w:bookmarkStart w:id="35" w:name="_Toc520894214"/>
    </w:p>
    <w:bookmarkEnd w:id="32"/>
    <w:bookmarkEnd w:id="33"/>
    <w:bookmarkEnd w:id="34"/>
    <w:bookmarkEnd w:id="35"/>
    <w:p>
      <w:pPr>
        <w:spacing w:line="360" w:lineRule="auto"/>
        <w:rPr>
          <w:rFonts w:ascii="宋体" w:hAnsi="宋体"/>
          <w:sz w:val="24"/>
        </w:rPr>
      </w:pPr>
      <w:bookmarkStart w:id="36" w:name="_Toc520894616"/>
      <w:bookmarkStart w:id="37" w:name="_Toc520895380"/>
      <w:bookmarkStart w:id="38" w:name="_Toc520894215"/>
      <w:bookmarkStart w:id="39" w:name="_Toc30221436"/>
      <w:bookmarkStart w:id="40" w:name="_Toc495388765"/>
      <w:r>
        <w:rPr>
          <w:rFonts w:hint="eastAsia" w:ascii="宋体" w:hAnsi="宋体"/>
          <w:sz w:val="24"/>
          <w:lang w:eastAsia="zh-CN"/>
        </w:rPr>
        <w:t>1.</w:t>
      </w:r>
      <w:r>
        <w:rPr>
          <w:rFonts w:hint="eastAsia" w:ascii="宋体" w:hAnsi="宋体"/>
          <w:sz w:val="24"/>
        </w:rPr>
        <w:t>2.</w:t>
      </w:r>
      <w:r>
        <w:rPr>
          <w:rFonts w:hint="eastAsia" w:ascii="宋体" w:hAnsi="宋体"/>
          <w:sz w:val="24"/>
          <w:lang w:val="en-US" w:eastAsia="zh-CN"/>
        </w:rPr>
        <w:t>4</w:t>
      </w:r>
      <w:r>
        <w:rPr>
          <w:rFonts w:hint="eastAsia" w:ascii="宋体" w:hAnsi="宋体"/>
          <w:sz w:val="24"/>
          <w:lang w:eastAsia="zh-CN"/>
        </w:rPr>
        <w:t>.</w:t>
      </w:r>
      <w:r>
        <w:rPr>
          <w:rFonts w:hint="eastAsia" w:ascii="宋体" w:hAnsi="宋体"/>
          <w:sz w:val="24"/>
        </w:rPr>
        <w:t>3 低压室</w:t>
      </w:r>
      <w:bookmarkEnd w:id="36"/>
      <w:bookmarkEnd w:id="37"/>
      <w:bookmarkEnd w:id="38"/>
      <w:bookmarkEnd w:id="39"/>
      <w:bookmarkEnd w:id="40"/>
    </w:p>
    <w:p>
      <w:pPr>
        <w:spacing w:line="360" w:lineRule="auto"/>
        <w:ind w:firstLine="480" w:firstLineChars="200"/>
        <w:rPr>
          <w:rFonts w:ascii="宋体" w:hAnsi="宋体"/>
          <w:sz w:val="24"/>
        </w:rPr>
      </w:pPr>
      <w:r>
        <w:rPr>
          <w:rFonts w:hint="eastAsia" w:ascii="宋体" w:hAnsi="宋体"/>
          <w:sz w:val="24"/>
        </w:rPr>
        <w:t>a) 柜内的二次回路连接导线，应采用多股软铜绝缘线。端子排标志应正确、完整、清楚、牢固，端子排的安装位置应使运行、检修、调试方便。</w:t>
      </w:r>
    </w:p>
    <w:p>
      <w:pPr>
        <w:spacing w:line="360" w:lineRule="auto"/>
        <w:ind w:firstLine="480" w:firstLineChars="200"/>
        <w:rPr>
          <w:rFonts w:ascii="宋体" w:hAnsi="宋体"/>
          <w:sz w:val="24"/>
        </w:rPr>
      </w:pPr>
      <w:r>
        <w:rPr>
          <w:rFonts w:hint="eastAsia" w:ascii="宋体" w:hAnsi="宋体"/>
          <w:sz w:val="24"/>
        </w:rPr>
        <w:t>b) 所有控制电缆均需在阻燃绝缘管道中走线或塑料带缠绕。</w:t>
      </w:r>
    </w:p>
    <w:p>
      <w:pPr>
        <w:spacing w:line="360" w:lineRule="auto"/>
        <w:ind w:firstLine="480" w:firstLineChars="200"/>
        <w:rPr>
          <w:rFonts w:ascii="宋体" w:hAnsi="宋体"/>
          <w:sz w:val="24"/>
        </w:rPr>
      </w:pPr>
      <w:r>
        <w:rPr>
          <w:rFonts w:hint="eastAsia" w:ascii="宋体" w:hAnsi="宋体"/>
          <w:sz w:val="24"/>
        </w:rPr>
        <w:t>c) 电流回路导线截面为2.5mm</w:t>
      </w:r>
      <w:r>
        <w:rPr>
          <w:rFonts w:hint="eastAsia" w:ascii="宋体" w:hAnsi="宋体"/>
          <w:sz w:val="24"/>
          <w:vertAlign w:val="superscript"/>
        </w:rPr>
        <w:t>2</w:t>
      </w:r>
      <w:r>
        <w:rPr>
          <w:rFonts w:hint="eastAsia" w:ascii="宋体" w:hAnsi="宋体"/>
          <w:sz w:val="24"/>
        </w:rPr>
        <w:t>，电压回路1.5 mm</w:t>
      </w:r>
      <w:r>
        <w:rPr>
          <w:rFonts w:hint="eastAsia" w:ascii="宋体" w:hAnsi="宋体"/>
          <w:sz w:val="24"/>
          <w:vertAlign w:val="superscript"/>
        </w:rPr>
        <w:t>2</w:t>
      </w:r>
      <w:r>
        <w:rPr>
          <w:rFonts w:hint="eastAsia" w:ascii="宋体" w:hAnsi="宋体"/>
          <w:sz w:val="24"/>
        </w:rPr>
        <w:t>，其余回路的导线截面不得小于1.0mm</w:t>
      </w:r>
      <w:r>
        <w:rPr>
          <w:rFonts w:hint="eastAsia" w:ascii="宋体" w:hAnsi="宋体"/>
          <w:sz w:val="24"/>
          <w:vertAlign w:val="superscript"/>
        </w:rPr>
        <w:t>2</w:t>
      </w:r>
      <w:r>
        <w:rPr>
          <w:rFonts w:hint="eastAsia" w:ascii="宋体" w:hAnsi="宋体"/>
          <w:sz w:val="24"/>
        </w:rPr>
        <w:t xml:space="preserve">； </w:t>
      </w:r>
    </w:p>
    <w:p>
      <w:pPr>
        <w:spacing w:line="360" w:lineRule="auto"/>
        <w:ind w:firstLine="480" w:firstLineChars="200"/>
        <w:rPr>
          <w:rFonts w:ascii="宋体" w:hAnsi="宋体"/>
          <w:sz w:val="24"/>
        </w:rPr>
      </w:pPr>
      <w:r>
        <w:rPr>
          <w:rFonts w:hint="eastAsia" w:ascii="宋体" w:hAnsi="宋体"/>
          <w:sz w:val="24"/>
        </w:rPr>
        <w:t>d)端子排导电部分为铜质。端子的选用应根据回路载流量和所接电缆截面确定。</w:t>
      </w:r>
    </w:p>
    <w:p>
      <w:pPr>
        <w:spacing w:line="360" w:lineRule="auto"/>
        <w:rPr>
          <w:rFonts w:ascii="宋体" w:hAnsi="宋体"/>
          <w:sz w:val="24"/>
        </w:rPr>
      </w:pPr>
      <w:bookmarkStart w:id="41" w:name="_Toc4563479"/>
      <w:bookmarkStart w:id="42" w:name="_Toc30221438"/>
      <w:r>
        <w:rPr>
          <w:rFonts w:hint="eastAsia" w:ascii="宋体" w:hAnsi="宋体"/>
          <w:sz w:val="24"/>
          <w:lang w:eastAsia="zh-CN"/>
        </w:rPr>
        <w:t>1.</w:t>
      </w:r>
      <w:r>
        <w:rPr>
          <w:rFonts w:hint="eastAsia" w:ascii="宋体" w:hAnsi="宋体"/>
          <w:sz w:val="24"/>
        </w:rPr>
        <w:t>2.</w:t>
      </w:r>
      <w:r>
        <w:rPr>
          <w:rFonts w:hint="eastAsia" w:ascii="宋体" w:hAnsi="宋体"/>
          <w:sz w:val="24"/>
          <w:lang w:val="en-US" w:eastAsia="zh-CN"/>
        </w:rPr>
        <w:t>4</w:t>
      </w:r>
      <w:r>
        <w:rPr>
          <w:rFonts w:hint="eastAsia" w:ascii="宋体" w:hAnsi="宋体"/>
          <w:sz w:val="24"/>
          <w:lang w:eastAsia="zh-CN"/>
        </w:rPr>
        <w:t>.</w:t>
      </w:r>
      <w:r>
        <w:rPr>
          <w:rFonts w:hint="eastAsia" w:ascii="宋体" w:hAnsi="宋体"/>
          <w:sz w:val="24"/>
        </w:rPr>
        <w:t>4操作闭锁与联锁</w:t>
      </w:r>
      <w:bookmarkEnd w:id="41"/>
      <w:bookmarkEnd w:id="42"/>
    </w:p>
    <w:p>
      <w:pPr>
        <w:spacing w:line="360" w:lineRule="auto"/>
        <w:ind w:firstLine="480" w:firstLineChars="200"/>
        <w:rPr>
          <w:rFonts w:ascii="宋体" w:hAnsi="宋体"/>
          <w:sz w:val="24"/>
        </w:rPr>
      </w:pPr>
      <w:r>
        <w:rPr>
          <w:rFonts w:hint="eastAsia" w:ascii="宋体" w:hAnsi="宋体"/>
          <w:sz w:val="24"/>
        </w:rPr>
        <w:t xml:space="preserve">a) 开关柜内应设有必要的联锁装置以保证运行中的安全。 </w:t>
      </w:r>
    </w:p>
    <w:p>
      <w:pPr>
        <w:spacing w:line="360" w:lineRule="auto"/>
        <w:ind w:firstLine="480" w:firstLineChars="200"/>
        <w:rPr>
          <w:rFonts w:ascii="宋体" w:hAnsi="宋体"/>
          <w:sz w:val="24"/>
        </w:rPr>
      </w:pPr>
      <w:r>
        <w:rPr>
          <w:rFonts w:hint="eastAsia" w:ascii="宋体" w:hAnsi="宋体"/>
          <w:sz w:val="24"/>
        </w:rPr>
        <w:t>b) 为防止误入带电间隔，柜体正面至少应有三只指示对应三相进线电缆头带电的指示灯；</w:t>
      </w:r>
      <w:bookmarkStart w:id="43" w:name="_Toc30221439"/>
      <w:bookmarkStart w:id="44" w:name="_Toc520894218"/>
      <w:bookmarkStart w:id="45" w:name="_Toc520894619"/>
      <w:bookmarkStart w:id="46" w:name="_Toc520895383"/>
      <w:bookmarkStart w:id="47" w:name="_Toc495388768"/>
    </w:p>
    <w:p>
      <w:pPr>
        <w:spacing w:line="360" w:lineRule="auto"/>
        <w:rPr>
          <w:rFonts w:ascii="宋体" w:hAnsi="宋体"/>
          <w:sz w:val="24"/>
        </w:rPr>
      </w:pPr>
      <w:r>
        <w:rPr>
          <w:rFonts w:hint="eastAsia" w:ascii="宋体" w:hAnsi="宋体"/>
          <w:sz w:val="24"/>
          <w:lang w:eastAsia="zh-CN"/>
        </w:rPr>
        <w:t>1.</w:t>
      </w:r>
      <w:r>
        <w:rPr>
          <w:rFonts w:hint="eastAsia" w:ascii="宋体" w:hAnsi="宋体"/>
          <w:sz w:val="24"/>
        </w:rPr>
        <w:t>2.</w:t>
      </w:r>
      <w:r>
        <w:rPr>
          <w:rFonts w:hint="eastAsia" w:ascii="宋体" w:hAnsi="宋体"/>
          <w:sz w:val="24"/>
          <w:lang w:val="en-US" w:eastAsia="zh-CN"/>
        </w:rPr>
        <w:t>4</w:t>
      </w:r>
      <w:r>
        <w:rPr>
          <w:rFonts w:hint="eastAsia" w:ascii="宋体" w:hAnsi="宋体"/>
          <w:sz w:val="24"/>
          <w:lang w:eastAsia="zh-CN"/>
        </w:rPr>
        <w:t>.</w:t>
      </w:r>
      <w:r>
        <w:rPr>
          <w:rFonts w:hint="eastAsia" w:ascii="宋体" w:hAnsi="宋体"/>
          <w:sz w:val="24"/>
        </w:rPr>
        <w:t>5 接地</w:t>
      </w:r>
      <w:bookmarkEnd w:id="43"/>
    </w:p>
    <w:p>
      <w:pPr>
        <w:spacing w:line="360" w:lineRule="auto"/>
        <w:ind w:firstLine="480" w:firstLineChars="200"/>
        <w:rPr>
          <w:rFonts w:ascii="宋体" w:hAnsi="宋体"/>
          <w:sz w:val="24"/>
        </w:rPr>
      </w:pPr>
      <w:r>
        <w:rPr>
          <w:rFonts w:hint="eastAsia" w:ascii="宋体" w:hAnsi="宋体"/>
          <w:sz w:val="24"/>
        </w:rPr>
        <w:t>沿所有高压柜的整个长度延伸方向应设有专用的接地铜排，其截面不小于90mm</w:t>
      </w:r>
      <w:r>
        <w:rPr>
          <w:rFonts w:hint="eastAsia" w:ascii="宋体" w:hAnsi="宋体"/>
          <w:sz w:val="24"/>
          <w:vertAlign w:val="superscript"/>
        </w:rPr>
        <w:t>2</w:t>
      </w:r>
      <w:r>
        <w:rPr>
          <w:rFonts w:hint="eastAsia" w:ascii="宋体" w:hAnsi="宋体"/>
          <w:sz w:val="24"/>
        </w:rPr>
        <w:t>。该接地母线应设有与接地网相连的固定连接端子，并有明显的标志，所有需要接地的设备和回路均应接到此母线接地。每一开关柜间的专用接地铜排应保证搭接可靠，安装方便。</w:t>
      </w:r>
    </w:p>
    <w:p>
      <w:pPr>
        <w:spacing w:line="360" w:lineRule="auto"/>
        <w:ind w:firstLine="480" w:firstLineChars="200"/>
        <w:rPr>
          <w:rFonts w:ascii="宋体" w:hAnsi="宋体"/>
          <w:sz w:val="24"/>
        </w:rPr>
      </w:pPr>
      <w:r>
        <w:rPr>
          <w:rFonts w:hint="eastAsia" w:ascii="宋体" w:hAnsi="宋体"/>
          <w:sz w:val="24"/>
        </w:rPr>
        <w:t>开关柜的金属骨架及其安装于柜内的高压电器组件的金属支架均应有符合技术条件的接地，并且与专门的接地体连接牢固。</w:t>
      </w:r>
      <w:bookmarkEnd w:id="44"/>
      <w:bookmarkEnd w:id="45"/>
      <w:bookmarkEnd w:id="46"/>
      <w:bookmarkEnd w:id="47"/>
    </w:p>
    <w:p>
      <w:pPr>
        <w:spacing w:line="360" w:lineRule="auto"/>
        <w:rPr>
          <w:rFonts w:ascii="宋体" w:hAnsi="宋体"/>
          <w:b/>
          <w:sz w:val="24"/>
          <w:szCs w:val="24"/>
        </w:rPr>
      </w:pPr>
      <w:r>
        <w:rPr>
          <w:rFonts w:hint="eastAsia" w:ascii="宋体" w:hAnsi="宋体"/>
          <w:b/>
          <w:sz w:val="24"/>
          <w:szCs w:val="24"/>
          <w:lang w:eastAsia="zh-CN"/>
        </w:rPr>
        <w:t>1.</w:t>
      </w:r>
      <w:r>
        <w:rPr>
          <w:rFonts w:hint="eastAsia" w:ascii="宋体" w:hAnsi="宋体"/>
          <w:b/>
          <w:sz w:val="24"/>
          <w:szCs w:val="24"/>
        </w:rPr>
        <w:t>3变压器技术要求</w:t>
      </w:r>
    </w:p>
    <w:p>
      <w:pPr>
        <w:spacing w:line="360" w:lineRule="auto"/>
        <w:rPr>
          <w:rFonts w:ascii="宋体" w:hAnsi="宋体"/>
          <w:bCs/>
          <w:sz w:val="24"/>
          <w:szCs w:val="24"/>
        </w:rPr>
      </w:pPr>
      <w:r>
        <w:rPr>
          <w:rFonts w:hint="eastAsia" w:ascii="宋体" w:hAnsi="宋体"/>
          <w:bCs/>
          <w:sz w:val="24"/>
          <w:szCs w:val="24"/>
        </w:rPr>
        <w:t>型号:S13；</w:t>
      </w:r>
    </w:p>
    <w:p>
      <w:pPr>
        <w:spacing w:line="360" w:lineRule="auto"/>
        <w:rPr>
          <w:rFonts w:ascii="宋体" w:hAnsi="宋体"/>
          <w:bCs/>
          <w:sz w:val="24"/>
          <w:szCs w:val="24"/>
        </w:rPr>
      </w:pPr>
      <w:r>
        <w:rPr>
          <w:rFonts w:hint="eastAsia" w:ascii="宋体" w:hAnsi="宋体"/>
          <w:bCs/>
          <w:sz w:val="24"/>
          <w:szCs w:val="24"/>
        </w:rPr>
        <w:t>变压器容量：630kVA</w:t>
      </w:r>
    </w:p>
    <w:p>
      <w:pPr>
        <w:spacing w:line="360" w:lineRule="auto"/>
        <w:rPr>
          <w:rFonts w:ascii="宋体" w:hAnsi="宋体"/>
          <w:bCs/>
          <w:sz w:val="24"/>
          <w:szCs w:val="24"/>
        </w:rPr>
      </w:pPr>
      <w:r>
        <w:rPr>
          <w:rFonts w:hint="eastAsia" w:ascii="宋体" w:hAnsi="宋体"/>
          <w:bCs/>
          <w:sz w:val="24"/>
          <w:szCs w:val="24"/>
        </w:rPr>
        <w:t>电压等级：高压侧：10kV，低压侧：0.4kV；</w:t>
      </w:r>
    </w:p>
    <w:p>
      <w:pPr>
        <w:spacing w:line="360" w:lineRule="auto"/>
        <w:rPr>
          <w:rFonts w:ascii="宋体" w:hAnsi="宋体"/>
          <w:bCs/>
          <w:sz w:val="24"/>
          <w:szCs w:val="24"/>
        </w:rPr>
      </w:pPr>
      <w:r>
        <w:rPr>
          <w:rFonts w:hint="eastAsia" w:ascii="宋体" w:hAnsi="宋体"/>
          <w:bCs/>
          <w:sz w:val="24"/>
          <w:szCs w:val="24"/>
        </w:rPr>
        <w:t>连接组别：D,yn11；</w:t>
      </w:r>
    </w:p>
    <w:p>
      <w:pPr>
        <w:spacing w:line="360" w:lineRule="auto"/>
        <w:rPr>
          <w:rFonts w:ascii="宋体" w:hAnsi="宋体"/>
          <w:bCs/>
          <w:sz w:val="24"/>
          <w:szCs w:val="24"/>
        </w:rPr>
      </w:pPr>
      <w:r>
        <w:rPr>
          <w:rFonts w:hint="eastAsia" w:ascii="宋体" w:hAnsi="宋体"/>
          <w:bCs/>
          <w:sz w:val="24"/>
          <w:szCs w:val="24"/>
        </w:rPr>
        <w:t>分接范围：±2×2.5%</w:t>
      </w:r>
    </w:p>
    <w:p>
      <w:pPr>
        <w:spacing w:line="360" w:lineRule="auto"/>
        <w:rPr>
          <w:rFonts w:ascii="宋体" w:hAnsi="宋体"/>
          <w:bCs/>
          <w:sz w:val="24"/>
          <w:szCs w:val="24"/>
        </w:rPr>
      </w:pPr>
      <w:r>
        <w:rPr>
          <w:rFonts w:hint="eastAsia" w:ascii="宋体" w:hAnsi="宋体"/>
          <w:bCs/>
          <w:sz w:val="24"/>
          <w:szCs w:val="24"/>
        </w:rPr>
        <w:t>短路阻抗：630kVA：</w:t>
      </w:r>
      <w:r>
        <w:rPr>
          <w:rFonts w:hint="eastAsia" w:ascii="宋体" w:hAnsi="宋体"/>
          <w:bCs/>
          <w:sz w:val="24"/>
          <w:szCs w:val="24"/>
          <w:lang w:eastAsia="zh-CN"/>
        </w:rPr>
        <w:t>1.</w:t>
      </w:r>
      <w:r>
        <w:rPr>
          <w:rFonts w:hint="eastAsia" w:ascii="宋体" w:hAnsi="宋体"/>
          <w:bCs/>
          <w:sz w:val="24"/>
          <w:szCs w:val="24"/>
        </w:rPr>
        <w:t>5%</w:t>
      </w:r>
    </w:p>
    <w:p>
      <w:pPr>
        <w:spacing w:line="360" w:lineRule="auto"/>
        <w:rPr>
          <w:rFonts w:ascii="宋体" w:hAnsi="宋体"/>
          <w:bCs/>
          <w:sz w:val="24"/>
          <w:szCs w:val="24"/>
        </w:rPr>
      </w:pPr>
      <w:r>
        <w:rPr>
          <w:rFonts w:hint="eastAsia" w:ascii="宋体" w:hAnsi="宋体"/>
          <w:bCs/>
          <w:sz w:val="24"/>
          <w:szCs w:val="24"/>
        </w:rPr>
        <w:t>空负载损耗:数值及偏差均按国家标准GB执行，空负载损耗偏差为＋15%，总损耗偏差为＋10%。</w:t>
      </w:r>
    </w:p>
    <w:p>
      <w:pPr>
        <w:spacing w:line="360" w:lineRule="auto"/>
        <w:rPr>
          <w:rFonts w:ascii="宋体" w:hAnsi="宋体"/>
          <w:b/>
          <w:sz w:val="24"/>
          <w:szCs w:val="24"/>
        </w:rPr>
      </w:pPr>
      <w:r>
        <w:rPr>
          <w:rFonts w:hint="eastAsia" w:ascii="宋体" w:hAnsi="宋体"/>
          <w:b/>
          <w:sz w:val="24"/>
          <w:szCs w:val="24"/>
          <w:lang w:eastAsia="zh-CN"/>
        </w:rPr>
        <w:t>1.</w:t>
      </w:r>
      <w:r>
        <w:rPr>
          <w:rFonts w:hint="eastAsia" w:ascii="宋体" w:hAnsi="宋体"/>
          <w:b/>
          <w:sz w:val="24"/>
          <w:szCs w:val="24"/>
        </w:rPr>
        <w:t>4低压开关柜技术要求</w:t>
      </w:r>
    </w:p>
    <w:p>
      <w:pPr>
        <w:spacing w:line="360" w:lineRule="auto"/>
        <w:rPr>
          <w:rFonts w:ascii="宋体" w:hAnsi="宋体"/>
          <w:sz w:val="24"/>
          <w:szCs w:val="24"/>
        </w:rPr>
      </w:pPr>
      <w:r>
        <w:rPr>
          <w:rFonts w:hint="eastAsia" w:ascii="宋体" w:hAnsi="宋体"/>
          <w:sz w:val="24"/>
          <w:szCs w:val="24"/>
        </w:rPr>
        <w:t>型号:GGD(进出线)/GGJ(补偿)</w:t>
      </w:r>
    </w:p>
    <w:p>
      <w:pPr>
        <w:spacing w:line="360" w:lineRule="auto"/>
        <w:rPr>
          <w:rFonts w:ascii="宋体" w:hAnsi="宋体"/>
          <w:sz w:val="24"/>
          <w:szCs w:val="24"/>
        </w:rPr>
      </w:pPr>
      <w:r>
        <w:rPr>
          <w:rFonts w:hint="eastAsia" w:ascii="宋体" w:hAnsi="宋体"/>
          <w:sz w:val="24"/>
          <w:szCs w:val="24"/>
        </w:rPr>
        <w:t>额定工作电压：AC400V</w:t>
      </w:r>
    </w:p>
    <w:p>
      <w:pPr>
        <w:spacing w:line="360" w:lineRule="auto"/>
        <w:rPr>
          <w:rFonts w:ascii="宋体" w:hAnsi="宋体"/>
          <w:sz w:val="24"/>
          <w:szCs w:val="24"/>
        </w:rPr>
      </w:pPr>
      <w:r>
        <w:rPr>
          <w:rFonts w:hint="eastAsia" w:ascii="宋体" w:hAnsi="宋体"/>
          <w:sz w:val="24"/>
          <w:szCs w:val="24"/>
        </w:rPr>
        <w:t>额定频率：50 Hz</w:t>
      </w:r>
    </w:p>
    <w:p>
      <w:pPr>
        <w:pStyle w:val="6"/>
        <w:ind w:firstLine="0" w:firstLineChars="0"/>
        <w:rPr>
          <w:rFonts w:ascii="宋体" w:hAnsi="宋体"/>
          <w:szCs w:val="24"/>
        </w:rPr>
      </w:pPr>
      <w:r>
        <w:rPr>
          <w:rFonts w:hint="eastAsia" w:ascii="宋体" w:hAnsi="宋体"/>
          <w:szCs w:val="24"/>
        </w:rPr>
        <w:t>相数：三相（TN-S系统）</w:t>
      </w:r>
    </w:p>
    <w:p>
      <w:pPr>
        <w:pStyle w:val="6"/>
        <w:ind w:firstLine="0" w:firstLineChars="0"/>
        <w:rPr>
          <w:rFonts w:ascii="宋体" w:hAnsi="宋体"/>
          <w:szCs w:val="24"/>
        </w:rPr>
      </w:pPr>
      <w:r>
        <w:rPr>
          <w:rFonts w:hint="eastAsia" w:ascii="宋体" w:hAnsi="宋体"/>
          <w:szCs w:val="24"/>
        </w:rPr>
        <w:t>额定电流：母线按设计图纸</w:t>
      </w:r>
    </w:p>
    <w:p>
      <w:pPr>
        <w:pStyle w:val="6"/>
        <w:ind w:firstLine="0" w:firstLineChars="0"/>
        <w:rPr>
          <w:rFonts w:ascii="宋体" w:hAnsi="宋体"/>
          <w:szCs w:val="24"/>
        </w:rPr>
      </w:pPr>
      <w:r>
        <w:rPr>
          <w:rFonts w:hint="eastAsia" w:ascii="宋体" w:hAnsi="宋体"/>
          <w:szCs w:val="24"/>
        </w:rPr>
        <w:t>额定绝缘电压：≥ AC660V</w:t>
      </w:r>
    </w:p>
    <w:p>
      <w:pPr>
        <w:pStyle w:val="6"/>
        <w:ind w:firstLine="0" w:firstLineChars="0"/>
        <w:rPr>
          <w:rFonts w:ascii="宋体" w:hAnsi="宋体"/>
          <w:szCs w:val="24"/>
        </w:rPr>
      </w:pPr>
      <w:r>
        <w:rPr>
          <w:rFonts w:hint="eastAsia" w:ascii="宋体" w:hAnsi="宋体"/>
          <w:szCs w:val="24"/>
        </w:rPr>
        <w:t>工频耐受电压：2.5kV</w:t>
      </w:r>
    </w:p>
    <w:p>
      <w:pPr>
        <w:pStyle w:val="6"/>
        <w:ind w:firstLine="0" w:firstLineChars="0"/>
        <w:rPr>
          <w:rFonts w:ascii="宋体" w:hAnsi="宋体"/>
          <w:szCs w:val="24"/>
        </w:rPr>
      </w:pPr>
      <w:r>
        <w:rPr>
          <w:rFonts w:hint="eastAsia" w:ascii="宋体" w:hAnsi="宋体"/>
          <w:szCs w:val="24"/>
        </w:rPr>
        <w:t>雷电冲击耐受电压:6kV</w:t>
      </w:r>
    </w:p>
    <w:p>
      <w:pPr>
        <w:pStyle w:val="6"/>
        <w:ind w:firstLine="0" w:firstLineChars="0"/>
        <w:rPr>
          <w:rFonts w:ascii="宋体" w:hAnsi="宋体"/>
          <w:szCs w:val="24"/>
        </w:rPr>
      </w:pPr>
      <w:r>
        <w:rPr>
          <w:rFonts w:hint="eastAsia" w:ascii="宋体" w:hAnsi="宋体"/>
          <w:szCs w:val="24"/>
        </w:rPr>
        <w:t>额定短时耐受电流：30kA</w:t>
      </w:r>
    </w:p>
    <w:p>
      <w:pPr>
        <w:pStyle w:val="7"/>
        <w:spacing w:after="0"/>
        <w:jc w:val="both"/>
        <w:outlineLvl w:val="2"/>
        <w:rPr>
          <w:rFonts w:hAnsi="宋体"/>
        </w:rPr>
      </w:pPr>
      <w:bookmarkStart w:id="48" w:name="_Toc6768"/>
      <w:bookmarkStart w:id="49" w:name="_Toc20342"/>
      <w:bookmarkStart w:id="50" w:name="_Toc15121"/>
      <w:bookmarkStart w:id="51" w:name="_Toc18129"/>
      <w:bookmarkStart w:id="52" w:name="_Toc31066"/>
      <w:bookmarkStart w:id="53" w:name="_Toc1645"/>
      <w:bookmarkStart w:id="54" w:name="_Toc28453"/>
      <w:r>
        <w:rPr>
          <w:rFonts w:hint="eastAsia" w:hAnsi="宋体"/>
          <w:b/>
          <w:lang w:eastAsia="zh-CN"/>
        </w:rPr>
        <w:t>1.</w:t>
      </w:r>
      <w:r>
        <w:rPr>
          <w:rFonts w:hint="eastAsia" w:hAnsi="宋体"/>
          <w:b/>
        </w:rPr>
        <w:t>5技术参数</w:t>
      </w:r>
      <w:bookmarkEnd w:id="48"/>
      <w:bookmarkEnd w:id="49"/>
      <w:bookmarkEnd w:id="50"/>
      <w:bookmarkEnd w:id="51"/>
      <w:bookmarkEnd w:id="52"/>
      <w:bookmarkEnd w:id="53"/>
      <w:bookmarkEnd w:id="54"/>
    </w:p>
    <w:p>
      <w:pPr>
        <w:pStyle w:val="7"/>
        <w:spacing w:after="0"/>
        <w:jc w:val="both"/>
        <w:rPr>
          <w:rFonts w:hAnsi="宋体"/>
          <w:dstrike/>
        </w:rPr>
      </w:pPr>
      <w:r>
        <w:rPr>
          <w:rFonts w:hint="eastAsia" w:hAnsi="宋体"/>
          <w:lang w:eastAsia="zh-CN"/>
        </w:rPr>
        <w:t>1.</w:t>
      </w:r>
      <w:r>
        <w:rPr>
          <w:rFonts w:hint="eastAsia" w:hAnsi="宋体"/>
        </w:rPr>
        <w:t>5.1 低压开关柜均采用固定式（进出线：GGD柜型；补偿柜GGJ柜型</w:t>
      </w:r>
      <w:r>
        <w:rPr>
          <w:rFonts w:hAnsi="宋体"/>
        </w:rPr>
        <w:t>）</w:t>
      </w:r>
      <w:r>
        <w:rPr>
          <w:rFonts w:hint="eastAsia" w:hAnsi="宋体"/>
        </w:rPr>
        <w:t>。</w:t>
      </w:r>
    </w:p>
    <w:p>
      <w:pPr>
        <w:pStyle w:val="7"/>
        <w:spacing w:after="0"/>
        <w:jc w:val="both"/>
        <w:rPr>
          <w:rFonts w:hAnsi="宋体"/>
        </w:rPr>
      </w:pPr>
      <w:r>
        <w:rPr>
          <w:rFonts w:hint="eastAsia" w:hAnsi="宋体"/>
          <w:lang w:eastAsia="zh-CN"/>
        </w:rPr>
        <w:t>1.</w:t>
      </w:r>
      <w:r>
        <w:rPr>
          <w:rFonts w:hint="eastAsia" w:hAnsi="宋体"/>
        </w:rPr>
        <w:t>5.2 柜体防护等级：IP30。</w:t>
      </w:r>
    </w:p>
    <w:p>
      <w:pPr>
        <w:pStyle w:val="7"/>
        <w:spacing w:after="0"/>
        <w:jc w:val="both"/>
        <w:rPr>
          <w:rFonts w:hAnsi="宋体"/>
        </w:rPr>
      </w:pPr>
      <w:r>
        <w:rPr>
          <w:rFonts w:hint="eastAsia" w:hAnsi="宋体"/>
          <w:lang w:eastAsia="zh-CN"/>
        </w:rPr>
        <w:t>1.</w:t>
      </w:r>
      <w:r>
        <w:rPr>
          <w:rFonts w:hint="eastAsia" w:hAnsi="宋体"/>
        </w:rPr>
        <w:t>5.3 柜体采用电缆下出线。</w:t>
      </w:r>
    </w:p>
    <w:p>
      <w:pPr>
        <w:spacing w:line="360" w:lineRule="auto"/>
        <w:rPr>
          <w:rFonts w:ascii="宋体" w:hAnsi="宋体"/>
          <w:sz w:val="24"/>
          <w:szCs w:val="24"/>
        </w:rPr>
      </w:pPr>
      <w:r>
        <w:rPr>
          <w:rFonts w:hint="eastAsia" w:ascii="宋体" w:hAnsi="宋体"/>
          <w:sz w:val="24"/>
          <w:szCs w:val="24"/>
          <w:lang w:eastAsia="zh-CN"/>
        </w:rPr>
        <w:t>1.</w:t>
      </w:r>
      <w:r>
        <w:rPr>
          <w:rFonts w:hint="eastAsia" w:ascii="宋体" w:hAnsi="宋体"/>
          <w:sz w:val="24"/>
          <w:szCs w:val="24"/>
        </w:rPr>
        <w:t>5.4柜体结构：框架厚度不低于2mm的冷轧钢板，门板厚度不低于2mm的彩钢板。</w:t>
      </w:r>
    </w:p>
    <w:p>
      <w:pPr>
        <w:pStyle w:val="7"/>
        <w:spacing w:after="0"/>
        <w:jc w:val="both"/>
        <w:rPr>
          <w:rFonts w:hAnsi="宋体"/>
        </w:rPr>
      </w:pPr>
      <w:r>
        <w:rPr>
          <w:rFonts w:hint="eastAsia" w:hAnsi="宋体"/>
          <w:lang w:eastAsia="zh-CN"/>
        </w:rPr>
        <w:t>1.</w:t>
      </w:r>
      <w:r>
        <w:rPr>
          <w:rFonts w:hint="eastAsia" w:hAnsi="宋体"/>
        </w:rPr>
        <w:t>5.5 柜体颜色：RAL7035。</w:t>
      </w:r>
    </w:p>
    <w:p>
      <w:pPr>
        <w:pStyle w:val="7"/>
        <w:spacing w:after="0"/>
        <w:jc w:val="both"/>
        <w:rPr>
          <w:rFonts w:hAnsi="宋体"/>
        </w:rPr>
      </w:pPr>
      <w:r>
        <w:rPr>
          <w:rFonts w:hint="eastAsia" w:hAnsi="宋体"/>
          <w:lang w:eastAsia="zh-CN"/>
        </w:rPr>
        <w:t>1.</w:t>
      </w:r>
      <w:r>
        <w:rPr>
          <w:rFonts w:hint="eastAsia" w:hAnsi="宋体"/>
        </w:rPr>
        <w:t>5.6 柜体铭牌采用牌制作。</w:t>
      </w:r>
    </w:p>
    <w:p>
      <w:pPr>
        <w:pStyle w:val="7"/>
        <w:spacing w:after="0"/>
        <w:jc w:val="both"/>
        <w:rPr>
          <w:rFonts w:hAnsi="宋体"/>
        </w:rPr>
      </w:pPr>
      <w:r>
        <w:rPr>
          <w:rFonts w:hint="eastAsia" w:hAnsi="宋体"/>
          <w:lang w:eastAsia="zh-CN"/>
        </w:rPr>
        <w:t>1.</w:t>
      </w:r>
      <w:r>
        <w:rPr>
          <w:rFonts w:hint="eastAsia" w:hAnsi="宋体"/>
        </w:rPr>
        <w:t>5.7柜内元器件选用</w:t>
      </w:r>
      <w:r>
        <w:rPr>
          <w:rFonts w:hint="eastAsia" w:hAnsi="宋体" w:cs="宋体"/>
        </w:rPr>
        <w:t>固控</w:t>
      </w:r>
      <w:r>
        <w:rPr>
          <w:rFonts w:hint="eastAsia" w:hAnsi="宋体"/>
        </w:rPr>
        <w:t>、佑朗产品。</w:t>
      </w:r>
    </w:p>
    <w:p>
      <w:pPr>
        <w:pStyle w:val="7"/>
        <w:spacing w:after="0"/>
        <w:jc w:val="both"/>
        <w:rPr>
          <w:rFonts w:hAnsi="宋体"/>
        </w:rPr>
      </w:pPr>
      <w:r>
        <w:rPr>
          <w:rFonts w:hint="eastAsia" w:hAnsi="宋体"/>
          <w:lang w:eastAsia="zh-CN"/>
        </w:rPr>
        <w:t>1.</w:t>
      </w:r>
      <w:r>
        <w:rPr>
          <w:rFonts w:hint="eastAsia" w:hAnsi="宋体"/>
        </w:rPr>
        <w:t>5.7.1框架断路器选</w:t>
      </w:r>
      <w:r>
        <w:rPr>
          <w:rFonts w:hint="eastAsia" w:hAnsi="宋体"/>
          <w:szCs w:val="21"/>
        </w:rPr>
        <w:t>GW1</w:t>
      </w:r>
      <w:r>
        <w:rPr>
          <w:rFonts w:hint="eastAsia" w:hAnsi="宋体"/>
        </w:rPr>
        <w:t>系列,电动抽屉式。</w:t>
      </w:r>
    </w:p>
    <w:p>
      <w:pPr>
        <w:pStyle w:val="7"/>
        <w:spacing w:after="0"/>
        <w:jc w:val="both"/>
        <w:rPr>
          <w:rFonts w:hint="eastAsia" w:hAnsi="宋体"/>
        </w:rPr>
      </w:pPr>
      <w:r>
        <w:rPr>
          <w:rFonts w:hint="eastAsia" w:hAnsi="宋体"/>
          <w:lang w:eastAsia="zh-CN"/>
        </w:rPr>
        <w:t>1.</w:t>
      </w:r>
      <w:r>
        <w:rPr>
          <w:rFonts w:hint="eastAsia" w:hAnsi="宋体"/>
        </w:rPr>
        <w:t xml:space="preserve">5.7.2出线开关： </w:t>
      </w:r>
    </w:p>
    <w:p>
      <w:pPr>
        <w:pStyle w:val="7"/>
        <w:spacing w:after="0"/>
        <w:jc w:val="both"/>
        <w:rPr>
          <w:rFonts w:hAnsi="宋体"/>
        </w:rPr>
      </w:pPr>
      <w:r>
        <w:rPr>
          <w:rFonts w:hint="eastAsia" w:hAnsi="宋体"/>
          <w:lang w:eastAsia="zh-CN"/>
        </w:rPr>
        <w:t>1.</w:t>
      </w:r>
      <w:r>
        <w:rPr>
          <w:rFonts w:hint="eastAsia" w:hAnsi="宋体"/>
        </w:rPr>
        <w:t>5.7.3塑壳断路器</w:t>
      </w:r>
      <w:r>
        <w:rPr>
          <w:rFonts w:hint="eastAsia" w:hAnsi="宋体"/>
          <w:szCs w:val="21"/>
        </w:rPr>
        <w:t>GM1</w:t>
      </w:r>
      <w:r>
        <w:rPr>
          <w:rFonts w:hint="eastAsia" w:hAnsi="宋体"/>
        </w:rPr>
        <w:t>系列；电容采用BSMJ0.45系统(共补),具体参数按图纸。</w:t>
      </w:r>
    </w:p>
    <w:p>
      <w:pPr>
        <w:spacing w:line="360" w:lineRule="auto"/>
        <w:rPr>
          <w:rFonts w:hint="eastAsia" w:ascii="宋体" w:hAnsi="宋体"/>
          <w:sz w:val="24"/>
          <w:szCs w:val="24"/>
        </w:rPr>
      </w:pPr>
      <w:r>
        <w:rPr>
          <w:rFonts w:hint="eastAsia" w:ascii="宋体" w:hAnsi="宋体"/>
          <w:sz w:val="24"/>
          <w:szCs w:val="24"/>
          <w:lang w:eastAsia="zh-CN"/>
        </w:rPr>
        <w:t>1.</w:t>
      </w:r>
      <w:r>
        <w:rPr>
          <w:rFonts w:hint="eastAsia" w:ascii="宋体" w:hAnsi="宋体"/>
          <w:sz w:val="24"/>
          <w:szCs w:val="24"/>
        </w:rPr>
        <w:t>5.8低压进线柜预留TTU安装位置。</w:t>
      </w:r>
    </w:p>
    <w:p>
      <w:pPr>
        <w:pStyle w:val="7"/>
        <w:spacing w:after="0"/>
        <w:jc w:val="both"/>
        <w:outlineLvl w:val="2"/>
        <w:rPr>
          <w:rFonts w:hAnsi="宋体"/>
          <w:b/>
        </w:rPr>
      </w:pPr>
      <w:r>
        <w:rPr>
          <w:rFonts w:hint="eastAsia" w:hAnsi="宋体"/>
          <w:b/>
          <w:lang w:eastAsia="zh-CN"/>
        </w:rPr>
        <w:t>1.</w:t>
      </w:r>
      <w:r>
        <w:rPr>
          <w:rFonts w:hint="eastAsia" w:hAnsi="宋体"/>
          <w:b/>
        </w:rPr>
        <w:t>6箱变壳体结构要求</w:t>
      </w:r>
    </w:p>
    <w:p>
      <w:pPr>
        <w:spacing w:line="360" w:lineRule="auto"/>
        <w:rPr>
          <w:rFonts w:ascii="宋体" w:hAnsi="宋体"/>
          <w:sz w:val="24"/>
          <w:szCs w:val="24"/>
        </w:rPr>
      </w:pPr>
      <w:bookmarkStart w:id="55" w:name="_Toc27445"/>
      <w:bookmarkStart w:id="56" w:name="_Toc26100"/>
      <w:bookmarkStart w:id="57" w:name="_Toc1669"/>
      <w:bookmarkStart w:id="58" w:name="_Toc25793"/>
      <w:bookmarkStart w:id="59" w:name="_Toc5965"/>
      <w:bookmarkStart w:id="60" w:name="_Toc20666"/>
      <w:bookmarkStart w:id="61" w:name="_Toc7520"/>
      <w:r>
        <w:rPr>
          <w:rFonts w:hint="eastAsia" w:ascii="宋体" w:hAnsi="宋体"/>
          <w:sz w:val="24"/>
          <w:szCs w:val="24"/>
          <w:lang w:eastAsia="zh-CN"/>
        </w:rPr>
        <w:t>1.</w:t>
      </w:r>
      <w:r>
        <w:rPr>
          <w:rFonts w:hint="eastAsia" w:ascii="宋体" w:hAnsi="宋体"/>
          <w:sz w:val="24"/>
          <w:szCs w:val="24"/>
        </w:rPr>
        <w:t>6.1</w:t>
      </w:r>
      <w:bookmarkEnd w:id="55"/>
      <w:bookmarkEnd w:id="56"/>
      <w:bookmarkEnd w:id="57"/>
      <w:bookmarkEnd w:id="58"/>
      <w:bookmarkEnd w:id="59"/>
      <w:bookmarkEnd w:id="60"/>
      <w:bookmarkEnd w:id="61"/>
      <w:r>
        <w:rPr>
          <w:rFonts w:hint="eastAsia" w:ascii="宋体" w:hAnsi="宋体"/>
          <w:sz w:val="24"/>
          <w:szCs w:val="24"/>
        </w:rPr>
        <w:t>箱式变电站的结构应保证工作人员的安全和便于运行、维护、检查、监视、检修和试验。</w:t>
      </w:r>
    </w:p>
    <w:p>
      <w:pPr>
        <w:pStyle w:val="7"/>
        <w:spacing w:after="0"/>
        <w:jc w:val="both"/>
        <w:rPr>
          <w:rFonts w:hAnsi="宋体"/>
        </w:rPr>
      </w:pPr>
      <w:r>
        <w:rPr>
          <w:rFonts w:hint="eastAsia" w:hAnsi="宋体"/>
          <w:lang w:eastAsia="zh-CN"/>
        </w:rPr>
        <w:t>1.</w:t>
      </w:r>
      <w:r>
        <w:rPr>
          <w:rFonts w:hint="eastAsia" w:hAnsi="宋体"/>
        </w:rPr>
        <w:t>6.2 箱体采用复合板壳体。各隔室间隔板采用冷轧钢板喷塑严格分成高压室、变压器室、低压室等，壳体门板如外观图片所示。</w:t>
      </w:r>
    </w:p>
    <w:p>
      <w:pPr>
        <w:pStyle w:val="7"/>
        <w:spacing w:after="0"/>
        <w:jc w:val="both"/>
        <w:rPr>
          <w:rFonts w:hAnsi="宋体"/>
        </w:rPr>
      </w:pPr>
      <w:r>
        <w:rPr>
          <w:rFonts w:hint="eastAsia" w:hAnsi="宋体"/>
          <w:lang w:eastAsia="zh-CN"/>
        </w:rPr>
        <w:t>1.</w:t>
      </w:r>
      <w:r>
        <w:rPr>
          <w:rFonts w:hint="eastAsia" w:hAnsi="宋体"/>
        </w:rPr>
        <w:t>6.3 箱变外观颜色：国网绿色。</w:t>
      </w:r>
    </w:p>
    <w:p>
      <w:pPr>
        <w:pStyle w:val="7"/>
        <w:spacing w:after="0"/>
        <w:jc w:val="both"/>
        <w:rPr>
          <w:rFonts w:hint="eastAsia" w:hAnsi="宋体"/>
        </w:rPr>
      </w:pPr>
      <w:r>
        <w:rPr>
          <w:rFonts w:hint="eastAsia" w:hAnsi="宋体"/>
          <w:lang w:eastAsia="zh-CN"/>
        </w:rPr>
        <w:t>1.</w:t>
      </w:r>
      <w:r>
        <w:rPr>
          <w:rFonts w:hint="eastAsia" w:hAnsi="宋体"/>
        </w:rPr>
        <w:t>6.4 箱体设计的外壳形状应不易积尘、积水；箱体顶盖应有明显散水坡度，不应小于5°，</w:t>
      </w:r>
    </w:p>
    <w:p>
      <w:pPr>
        <w:pStyle w:val="7"/>
        <w:spacing w:after="0"/>
        <w:jc w:val="both"/>
        <w:rPr>
          <w:rFonts w:hAnsi="宋体"/>
        </w:rPr>
      </w:pPr>
      <w:r>
        <w:rPr>
          <w:rFonts w:hint="eastAsia" w:hAnsi="宋体"/>
        </w:rPr>
        <w:t>防止雨水回流进入箱体。尽量少用外露紧固件，以免螺钉穿通外壳使水导入壳内；对穿通外壳的孔，均应采取相应的密封措施，若实在无法避免使用外露紧固件，则必须选用不锈钢紧固件，防止紧固件生锈。外壳应防水、防震、防腐、防尘</w:t>
      </w:r>
      <w:r>
        <w:rPr>
          <w:rFonts w:hint="eastAsia" w:hAnsi="宋体"/>
          <w:lang w:eastAsia="zh-CN"/>
        </w:rPr>
        <w:t>，</w:t>
      </w:r>
      <w:r>
        <w:rPr>
          <w:rFonts w:hint="eastAsia" w:hAnsi="宋体"/>
        </w:rPr>
        <w:t>箱变防护等级IP44。</w:t>
      </w:r>
    </w:p>
    <w:p>
      <w:pPr>
        <w:pStyle w:val="7"/>
        <w:spacing w:after="0"/>
        <w:jc w:val="both"/>
        <w:rPr>
          <w:rFonts w:hAnsi="宋体"/>
        </w:rPr>
      </w:pPr>
      <w:r>
        <w:rPr>
          <w:rFonts w:hint="eastAsia" w:hAnsi="宋体"/>
          <w:lang w:eastAsia="zh-CN"/>
        </w:rPr>
        <w:t>1.</w:t>
      </w:r>
      <w:r>
        <w:rPr>
          <w:rFonts w:hint="eastAsia" w:hAnsi="宋体"/>
        </w:rPr>
        <w:t>6.5 箱体骨架应有足够的机械强度和刚度，在整体移设、起吊、运输和安装时不会变形或损伤。箱体设足够的自然通风和隔热，保证产品在一般周围空气温度下运行时所有电气设备的温度不超过其最大允许温度。箱体应有可靠的密封性能。箱体内设驱潮装置，保证内部元件不发生凝露。</w:t>
      </w:r>
    </w:p>
    <w:p>
      <w:pPr>
        <w:pStyle w:val="7"/>
        <w:spacing w:after="0"/>
        <w:jc w:val="both"/>
        <w:rPr>
          <w:rFonts w:hAnsi="宋体"/>
        </w:rPr>
      </w:pPr>
      <w:r>
        <w:rPr>
          <w:rFonts w:hint="eastAsia" w:hAnsi="宋体"/>
          <w:lang w:eastAsia="zh-CN"/>
        </w:rPr>
        <w:t>1.</w:t>
      </w:r>
      <w:r>
        <w:rPr>
          <w:rFonts w:hint="eastAsia" w:hAnsi="宋体"/>
        </w:rPr>
        <w:t>6.6 所有门应向外开，开启角度大于90°，并设置定位装置。门装有把手和暗锁，门的设计尺寸与所装设备的尺寸相配合。</w:t>
      </w:r>
    </w:p>
    <w:p>
      <w:pPr>
        <w:pStyle w:val="7"/>
        <w:spacing w:after="0"/>
        <w:jc w:val="both"/>
        <w:rPr>
          <w:rFonts w:hAnsi="宋体"/>
        </w:rPr>
      </w:pPr>
      <w:r>
        <w:rPr>
          <w:rFonts w:hint="eastAsia" w:hAnsi="宋体"/>
          <w:lang w:eastAsia="zh-CN"/>
        </w:rPr>
        <w:t>1.</w:t>
      </w:r>
      <w:r>
        <w:rPr>
          <w:rFonts w:hint="eastAsia" w:hAnsi="宋体"/>
        </w:rPr>
        <w:t>6.7 箱式变电站的接地</w:t>
      </w:r>
    </w:p>
    <w:p>
      <w:pPr>
        <w:pStyle w:val="6"/>
        <w:ind w:firstLine="480"/>
        <w:rPr>
          <w:rFonts w:hint="eastAsia" w:ascii="宋体" w:hAnsi="宋体"/>
          <w:szCs w:val="24"/>
        </w:rPr>
      </w:pPr>
      <w:r>
        <w:rPr>
          <w:rFonts w:hint="eastAsia" w:ascii="宋体" w:hAnsi="宋体"/>
          <w:szCs w:val="24"/>
        </w:rPr>
        <w:t>箱体底架上应设专用接地导体，该接地导体上应设有与接地网相连接的固定接地端子，与箱式变电站内各设备接地和保护接地相连，并应有明显的接地标志。接地端子为直径不小于12mm的螺栓。箱式变电站的金属骨架，高压配电装置、低配电装置和变压器室的金属支架均应有符合技术条件的接地端子，并与专用接地导体可靠地连接在一起。箱式变电站每台箱体的底架外部应至少设有2个明显的接地点，该接地点应采用可靠底架焊接，并配有直径不小于12mm的螺栓，以便现场进行箱体与基础接地网的连接。</w:t>
      </w:r>
    </w:p>
    <w:p>
      <w:pPr>
        <w:pStyle w:val="6"/>
        <w:ind w:firstLine="0" w:firstLineChars="0"/>
        <w:rPr>
          <w:rFonts w:hint="eastAsia" w:ascii="宋体" w:hAnsi="宋体"/>
          <w:b/>
          <w:kern w:val="0"/>
          <w:szCs w:val="24"/>
        </w:rPr>
      </w:pPr>
      <w:bookmarkStart w:id="62" w:name="_Toc25298"/>
      <w:bookmarkStart w:id="63" w:name="_Toc16857"/>
      <w:bookmarkStart w:id="64" w:name="_Toc5743"/>
      <w:bookmarkStart w:id="65" w:name="_Toc10400"/>
      <w:bookmarkStart w:id="66" w:name="_Toc12798"/>
      <w:bookmarkStart w:id="67" w:name="_Toc782"/>
      <w:bookmarkStart w:id="68" w:name="_Toc29451"/>
      <w:bookmarkStart w:id="69" w:name="_Toc5670"/>
      <w:bookmarkStart w:id="70" w:name="_Toc4914"/>
      <w:bookmarkStart w:id="71" w:name="_Toc15844"/>
      <w:bookmarkStart w:id="72" w:name="_Toc7278"/>
      <w:bookmarkStart w:id="73" w:name="_Toc13618"/>
      <w:bookmarkStart w:id="74" w:name="_Toc18758"/>
      <w:bookmarkStart w:id="75" w:name="_Toc23408"/>
      <w:bookmarkStart w:id="76" w:name="_Toc5461"/>
      <w:r>
        <w:rPr>
          <w:rFonts w:hint="eastAsia" w:ascii="宋体" w:hAnsi="宋体"/>
          <w:b/>
          <w:kern w:val="0"/>
          <w:szCs w:val="24"/>
        </w:rPr>
        <w:t>5.设备配置清单</w:t>
      </w:r>
    </w:p>
    <w:p>
      <w:pPr>
        <w:pStyle w:val="6"/>
        <w:numPr>
          <w:ilvl w:val="1"/>
          <w:numId w:val="1"/>
        </w:numPr>
        <w:ind w:firstLineChars="0"/>
        <w:rPr>
          <w:rFonts w:ascii="宋体" w:hAnsi="宋体"/>
          <w:b/>
          <w:kern w:val="0"/>
          <w:szCs w:val="24"/>
        </w:rPr>
      </w:pPr>
      <w:r>
        <w:rPr>
          <w:rFonts w:hint="eastAsia" w:ascii="宋体" w:hAnsi="宋体"/>
          <w:b/>
          <w:kern w:val="0"/>
          <w:szCs w:val="24"/>
        </w:rPr>
        <w:t>630kVA箱变设备配置清单</w:t>
      </w:r>
    </w:p>
    <w:tbl>
      <w:tblPr>
        <w:tblStyle w:val="4"/>
        <w:tblW w:w="0" w:type="auto"/>
        <w:tblInd w:w="103" w:type="dxa"/>
        <w:tblLayout w:type="fixed"/>
        <w:tblCellMar>
          <w:top w:w="0" w:type="dxa"/>
          <w:left w:w="108" w:type="dxa"/>
          <w:bottom w:w="0" w:type="dxa"/>
          <w:right w:w="108" w:type="dxa"/>
        </w:tblCellMar>
      </w:tblPr>
      <w:tblGrid>
        <w:gridCol w:w="1048"/>
        <w:gridCol w:w="2359"/>
        <w:gridCol w:w="3762"/>
        <w:gridCol w:w="1250"/>
      </w:tblGrid>
      <w:tr>
        <w:tblPrEx>
          <w:tblCellMar>
            <w:top w:w="0" w:type="dxa"/>
            <w:left w:w="108" w:type="dxa"/>
            <w:bottom w:w="0" w:type="dxa"/>
            <w:right w:w="108" w:type="dxa"/>
          </w:tblCellMar>
        </w:tblPrEx>
        <w:trPr>
          <w:trHeight w:val="289" w:hRule="atLeast"/>
        </w:trPr>
        <w:tc>
          <w:tcPr>
            <w:tcW w:w="104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b/>
                <w:bCs/>
                <w:kern w:val="0"/>
                <w:szCs w:val="24"/>
              </w:rPr>
            </w:pPr>
            <w:r>
              <w:rPr>
                <w:rFonts w:hint="eastAsia" w:ascii="宋体" w:hAnsi="宋体" w:cs="宋体"/>
                <w:b/>
                <w:bCs/>
                <w:kern w:val="0"/>
                <w:szCs w:val="24"/>
              </w:rPr>
              <w:t>序号</w:t>
            </w:r>
          </w:p>
        </w:tc>
        <w:tc>
          <w:tcPr>
            <w:tcW w:w="2359"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ascii="宋体" w:hAnsi="宋体" w:cs="宋体"/>
                <w:b/>
                <w:bCs/>
                <w:kern w:val="0"/>
                <w:szCs w:val="24"/>
              </w:rPr>
            </w:pPr>
            <w:r>
              <w:rPr>
                <w:rFonts w:hint="eastAsia" w:ascii="宋体" w:hAnsi="宋体" w:cs="宋体"/>
                <w:b/>
                <w:bCs/>
                <w:kern w:val="0"/>
                <w:szCs w:val="24"/>
              </w:rPr>
              <w:t>组件名称</w:t>
            </w:r>
          </w:p>
        </w:tc>
        <w:tc>
          <w:tcPr>
            <w:tcW w:w="3762"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ascii="宋体" w:hAnsi="宋体" w:cs="宋体"/>
                <w:b/>
                <w:bCs/>
                <w:kern w:val="0"/>
                <w:szCs w:val="24"/>
              </w:rPr>
            </w:pPr>
            <w:r>
              <w:rPr>
                <w:rFonts w:hint="eastAsia" w:ascii="宋体" w:hAnsi="宋体" w:cs="宋体"/>
                <w:b/>
                <w:bCs/>
                <w:kern w:val="0"/>
                <w:szCs w:val="24"/>
              </w:rPr>
              <w:t>规格型号</w:t>
            </w:r>
          </w:p>
        </w:tc>
        <w:tc>
          <w:tcPr>
            <w:tcW w:w="1250"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ascii="宋体" w:hAnsi="宋体" w:cs="宋体"/>
                <w:b/>
                <w:bCs/>
                <w:kern w:val="0"/>
                <w:szCs w:val="24"/>
              </w:rPr>
            </w:pPr>
            <w:r>
              <w:rPr>
                <w:rFonts w:hint="eastAsia" w:ascii="宋体" w:hAnsi="宋体" w:cs="宋体"/>
                <w:b/>
                <w:bCs/>
                <w:kern w:val="0"/>
                <w:szCs w:val="24"/>
              </w:rPr>
              <w:t>生产厂家</w:t>
            </w:r>
          </w:p>
        </w:tc>
      </w:tr>
      <w:tr>
        <w:tblPrEx>
          <w:tblCellMar>
            <w:top w:w="0" w:type="dxa"/>
            <w:left w:w="108" w:type="dxa"/>
            <w:bottom w:w="0" w:type="dxa"/>
            <w:right w:w="108" w:type="dxa"/>
          </w:tblCellMar>
        </w:tblPrEx>
        <w:trPr>
          <w:trHeight w:val="289" w:hRule="atLeast"/>
        </w:trPr>
        <w:tc>
          <w:tcPr>
            <w:tcW w:w="1048"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1</w:t>
            </w:r>
          </w:p>
        </w:tc>
        <w:tc>
          <w:tcPr>
            <w:tcW w:w="2359"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箱变壳体</w:t>
            </w:r>
          </w:p>
        </w:tc>
        <w:tc>
          <w:tcPr>
            <w:tcW w:w="3762"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彩钢板</w:t>
            </w:r>
          </w:p>
        </w:tc>
        <w:tc>
          <w:tcPr>
            <w:tcW w:w="1250"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p>
        </w:tc>
      </w:tr>
      <w:tr>
        <w:tblPrEx>
          <w:tblCellMar>
            <w:top w:w="0" w:type="dxa"/>
            <w:left w:w="108" w:type="dxa"/>
            <w:bottom w:w="0" w:type="dxa"/>
            <w:right w:w="108" w:type="dxa"/>
          </w:tblCellMar>
        </w:tblPrEx>
        <w:trPr>
          <w:trHeight w:val="285" w:hRule="atLeast"/>
        </w:trPr>
        <w:tc>
          <w:tcPr>
            <w:tcW w:w="1048"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2</w:t>
            </w:r>
          </w:p>
        </w:tc>
        <w:tc>
          <w:tcPr>
            <w:tcW w:w="2359"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高压负荷开关</w:t>
            </w:r>
          </w:p>
        </w:tc>
        <w:tc>
          <w:tcPr>
            <w:tcW w:w="3762"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HXGN-12环网柜</w:t>
            </w:r>
          </w:p>
        </w:tc>
        <w:tc>
          <w:tcPr>
            <w:tcW w:w="1250"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p>
        </w:tc>
      </w:tr>
      <w:tr>
        <w:tblPrEx>
          <w:tblCellMar>
            <w:top w:w="0" w:type="dxa"/>
            <w:left w:w="108" w:type="dxa"/>
            <w:bottom w:w="0" w:type="dxa"/>
            <w:right w:w="108" w:type="dxa"/>
          </w:tblCellMar>
        </w:tblPrEx>
        <w:trPr>
          <w:trHeight w:val="64" w:hRule="atLeast"/>
        </w:trPr>
        <w:tc>
          <w:tcPr>
            <w:tcW w:w="1048"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3</w:t>
            </w:r>
          </w:p>
        </w:tc>
        <w:tc>
          <w:tcPr>
            <w:tcW w:w="2359"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高压熔断器</w:t>
            </w:r>
          </w:p>
        </w:tc>
        <w:tc>
          <w:tcPr>
            <w:tcW w:w="3762"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XRNT-12/63A</w:t>
            </w:r>
          </w:p>
        </w:tc>
        <w:tc>
          <w:tcPr>
            <w:tcW w:w="1250" w:type="dxa"/>
            <w:tcBorders>
              <w:top w:val="nil"/>
              <w:left w:val="nil"/>
              <w:bottom w:val="single" w:color="auto" w:sz="4" w:space="0"/>
              <w:right w:val="single" w:color="auto" w:sz="4" w:space="0"/>
            </w:tcBorders>
            <w:noWrap w:val="0"/>
            <w:vAlign w:val="center"/>
          </w:tcPr>
          <w:p>
            <w:pPr>
              <w:widowControl/>
              <w:spacing w:line="360" w:lineRule="auto"/>
              <w:jc w:val="center"/>
              <w:rPr>
                <w:rFonts w:hint="eastAsia" w:ascii="宋体" w:hAnsi="宋体" w:cs="宋体"/>
                <w:kern w:val="0"/>
                <w:szCs w:val="24"/>
              </w:rPr>
            </w:pPr>
          </w:p>
        </w:tc>
      </w:tr>
      <w:tr>
        <w:tblPrEx>
          <w:tblCellMar>
            <w:top w:w="0" w:type="dxa"/>
            <w:left w:w="108" w:type="dxa"/>
            <w:bottom w:w="0" w:type="dxa"/>
            <w:right w:w="108" w:type="dxa"/>
          </w:tblCellMar>
        </w:tblPrEx>
        <w:trPr>
          <w:trHeight w:val="285" w:hRule="atLeast"/>
        </w:trPr>
        <w:tc>
          <w:tcPr>
            <w:tcW w:w="1048"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4</w:t>
            </w:r>
          </w:p>
        </w:tc>
        <w:tc>
          <w:tcPr>
            <w:tcW w:w="2359"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避雷器</w:t>
            </w:r>
          </w:p>
        </w:tc>
        <w:tc>
          <w:tcPr>
            <w:tcW w:w="3762"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ascii="宋体" w:hAnsi="宋体" w:cs="宋体"/>
                <w:kern w:val="0"/>
                <w:szCs w:val="24"/>
              </w:rPr>
              <w:t>HY5WS-17/50</w:t>
            </w:r>
          </w:p>
        </w:tc>
        <w:tc>
          <w:tcPr>
            <w:tcW w:w="1250"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p>
        </w:tc>
      </w:tr>
      <w:tr>
        <w:tblPrEx>
          <w:tblCellMar>
            <w:top w:w="0" w:type="dxa"/>
            <w:left w:w="108" w:type="dxa"/>
            <w:bottom w:w="0" w:type="dxa"/>
            <w:right w:w="108" w:type="dxa"/>
          </w:tblCellMar>
        </w:tblPrEx>
        <w:trPr>
          <w:trHeight w:val="285" w:hRule="atLeast"/>
        </w:trPr>
        <w:tc>
          <w:tcPr>
            <w:tcW w:w="1048"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5</w:t>
            </w:r>
          </w:p>
        </w:tc>
        <w:tc>
          <w:tcPr>
            <w:tcW w:w="2359"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变压器</w:t>
            </w:r>
          </w:p>
        </w:tc>
        <w:tc>
          <w:tcPr>
            <w:tcW w:w="3762"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S13-M-630/10 10/0.4kV</w:t>
            </w:r>
          </w:p>
        </w:tc>
        <w:tc>
          <w:tcPr>
            <w:tcW w:w="1250"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 w:val="18"/>
                <w:szCs w:val="18"/>
              </w:rPr>
            </w:pPr>
          </w:p>
        </w:tc>
      </w:tr>
      <w:tr>
        <w:tblPrEx>
          <w:tblCellMar>
            <w:top w:w="0" w:type="dxa"/>
            <w:left w:w="108" w:type="dxa"/>
            <w:bottom w:w="0" w:type="dxa"/>
            <w:right w:w="108" w:type="dxa"/>
          </w:tblCellMar>
        </w:tblPrEx>
        <w:trPr>
          <w:trHeight w:val="285" w:hRule="atLeast"/>
        </w:trPr>
        <w:tc>
          <w:tcPr>
            <w:tcW w:w="1048"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6</w:t>
            </w:r>
          </w:p>
        </w:tc>
        <w:tc>
          <w:tcPr>
            <w:tcW w:w="2359"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框架断路器</w:t>
            </w:r>
          </w:p>
        </w:tc>
        <w:tc>
          <w:tcPr>
            <w:tcW w:w="3762"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1"/>
              </w:rPr>
            </w:pPr>
            <w:r>
              <w:rPr>
                <w:rFonts w:hint="eastAsia" w:ascii="宋体" w:hAnsi="宋体"/>
                <w:szCs w:val="21"/>
              </w:rPr>
              <w:t>GW1-2000/3P 1250A</w:t>
            </w:r>
            <w:r>
              <w:rPr>
                <w:rFonts w:hint="eastAsia" w:ascii="宋体" w:hAnsi="宋体" w:cs="宋体"/>
                <w:kern w:val="0"/>
                <w:szCs w:val="21"/>
              </w:rPr>
              <w:t>电动 抽屉式</w:t>
            </w:r>
          </w:p>
        </w:tc>
        <w:tc>
          <w:tcPr>
            <w:tcW w:w="1250" w:type="dxa"/>
            <w:tcBorders>
              <w:top w:val="nil"/>
              <w:left w:val="nil"/>
              <w:bottom w:val="single" w:color="auto" w:sz="4" w:space="0"/>
              <w:right w:val="single" w:color="auto" w:sz="4" w:space="0"/>
            </w:tcBorders>
            <w:noWrap w:val="0"/>
            <w:vAlign w:val="center"/>
          </w:tcPr>
          <w:p>
            <w:pPr>
              <w:widowControl/>
              <w:spacing w:line="360" w:lineRule="auto"/>
              <w:ind w:firstLine="105" w:firstLineChars="50"/>
              <w:jc w:val="center"/>
              <w:rPr>
                <w:rFonts w:ascii="宋体" w:hAnsi="宋体" w:cs="宋体"/>
                <w:kern w:val="0"/>
                <w:szCs w:val="24"/>
              </w:rPr>
            </w:pPr>
          </w:p>
        </w:tc>
      </w:tr>
      <w:tr>
        <w:tblPrEx>
          <w:tblCellMar>
            <w:top w:w="0" w:type="dxa"/>
            <w:left w:w="108" w:type="dxa"/>
            <w:bottom w:w="0" w:type="dxa"/>
            <w:right w:w="108" w:type="dxa"/>
          </w:tblCellMar>
        </w:tblPrEx>
        <w:trPr>
          <w:trHeight w:val="285" w:hRule="atLeast"/>
        </w:trPr>
        <w:tc>
          <w:tcPr>
            <w:tcW w:w="1048"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7</w:t>
            </w:r>
          </w:p>
        </w:tc>
        <w:tc>
          <w:tcPr>
            <w:tcW w:w="2359"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塑壳断路器</w:t>
            </w:r>
          </w:p>
        </w:tc>
        <w:tc>
          <w:tcPr>
            <w:tcW w:w="3762"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p>
        </w:tc>
        <w:tc>
          <w:tcPr>
            <w:tcW w:w="1250"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p>
        </w:tc>
      </w:tr>
      <w:tr>
        <w:tblPrEx>
          <w:tblCellMar>
            <w:top w:w="0" w:type="dxa"/>
            <w:left w:w="108" w:type="dxa"/>
            <w:bottom w:w="0" w:type="dxa"/>
            <w:right w:w="108" w:type="dxa"/>
          </w:tblCellMar>
        </w:tblPrEx>
        <w:trPr>
          <w:trHeight w:val="64" w:hRule="atLeast"/>
        </w:trPr>
        <w:tc>
          <w:tcPr>
            <w:tcW w:w="1048"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8</w:t>
            </w:r>
          </w:p>
        </w:tc>
        <w:tc>
          <w:tcPr>
            <w:tcW w:w="2359"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塑壳断路器</w:t>
            </w:r>
          </w:p>
        </w:tc>
        <w:tc>
          <w:tcPr>
            <w:tcW w:w="3762"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p>
        </w:tc>
        <w:tc>
          <w:tcPr>
            <w:tcW w:w="1250"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p>
        </w:tc>
      </w:tr>
      <w:tr>
        <w:tblPrEx>
          <w:tblCellMar>
            <w:top w:w="0" w:type="dxa"/>
            <w:left w:w="108" w:type="dxa"/>
            <w:bottom w:w="0" w:type="dxa"/>
            <w:right w:w="108" w:type="dxa"/>
          </w:tblCellMar>
        </w:tblPrEx>
        <w:trPr>
          <w:trHeight w:val="64" w:hRule="atLeast"/>
        </w:trPr>
        <w:tc>
          <w:tcPr>
            <w:tcW w:w="1048"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9</w:t>
            </w:r>
          </w:p>
        </w:tc>
        <w:tc>
          <w:tcPr>
            <w:tcW w:w="2359"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分补电容器</w:t>
            </w:r>
          </w:p>
        </w:tc>
        <w:tc>
          <w:tcPr>
            <w:tcW w:w="3762"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p>
        </w:tc>
        <w:tc>
          <w:tcPr>
            <w:tcW w:w="1250"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p>
        </w:tc>
      </w:tr>
      <w:tr>
        <w:tblPrEx>
          <w:tblCellMar>
            <w:top w:w="0" w:type="dxa"/>
            <w:left w:w="108" w:type="dxa"/>
            <w:bottom w:w="0" w:type="dxa"/>
            <w:right w:w="108" w:type="dxa"/>
          </w:tblCellMar>
        </w:tblPrEx>
        <w:trPr>
          <w:trHeight w:val="285" w:hRule="atLeast"/>
        </w:trPr>
        <w:tc>
          <w:tcPr>
            <w:tcW w:w="1048"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10</w:t>
            </w:r>
          </w:p>
        </w:tc>
        <w:tc>
          <w:tcPr>
            <w:tcW w:w="2359"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共补电容器</w:t>
            </w:r>
          </w:p>
        </w:tc>
        <w:tc>
          <w:tcPr>
            <w:tcW w:w="3762"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p>
        </w:tc>
        <w:tc>
          <w:tcPr>
            <w:tcW w:w="1250"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p>
        </w:tc>
      </w:tr>
      <w:tr>
        <w:tblPrEx>
          <w:tblCellMar>
            <w:top w:w="0" w:type="dxa"/>
            <w:left w:w="108" w:type="dxa"/>
            <w:bottom w:w="0" w:type="dxa"/>
            <w:right w:w="108" w:type="dxa"/>
          </w:tblCellMar>
        </w:tblPrEx>
        <w:trPr>
          <w:trHeight w:val="285" w:hRule="atLeast"/>
        </w:trPr>
        <w:tc>
          <w:tcPr>
            <w:tcW w:w="1048"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cs="宋体"/>
                <w:kern w:val="0"/>
                <w:szCs w:val="24"/>
              </w:rPr>
            </w:pPr>
            <w:r>
              <w:rPr>
                <w:rFonts w:hint="eastAsia" w:ascii="宋体" w:hAnsi="宋体" w:cs="宋体"/>
                <w:kern w:val="0"/>
                <w:szCs w:val="24"/>
              </w:rPr>
              <w:t>11</w:t>
            </w:r>
          </w:p>
        </w:tc>
        <w:tc>
          <w:tcPr>
            <w:tcW w:w="2359"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共补电容器</w:t>
            </w:r>
          </w:p>
        </w:tc>
        <w:tc>
          <w:tcPr>
            <w:tcW w:w="3762"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p>
        </w:tc>
        <w:tc>
          <w:tcPr>
            <w:tcW w:w="1250"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p>
        </w:tc>
      </w:tr>
      <w:tr>
        <w:tblPrEx>
          <w:tblCellMar>
            <w:top w:w="0" w:type="dxa"/>
            <w:left w:w="108" w:type="dxa"/>
            <w:bottom w:w="0" w:type="dxa"/>
            <w:right w:w="108" w:type="dxa"/>
          </w:tblCellMar>
        </w:tblPrEx>
        <w:trPr>
          <w:trHeight w:val="285" w:hRule="atLeast"/>
        </w:trPr>
        <w:tc>
          <w:tcPr>
            <w:tcW w:w="1048"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12</w:t>
            </w:r>
          </w:p>
        </w:tc>
        <w:tc>
          <w:tcPr>
            <w:tcW w:w="2359"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hint="eastAsia" w:ascii="宋体" w:hAnsi="宋体" w:cs="宋体"/>
                <w:kern w:val="0"/>
                <w:szCs w:val="24"/>
              </w:rPr>
              <w:t>控制器</w:t>
            </w:r>
          </w:p>
        </w:tc>
        <w:tc>
          <w:tcPr>
            <w:tcW w:w="3762"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r>
              <w:rPr>
                <w:rFonts w:ascii="宋体" w:hAnsi="宋体" w:cs="宋体"/>
                <w:kern w:val="0"/>
                <w:szCs w:val="24"/>
              </w:rPr>
              <w:t>JKWF-12J</w:t>
            </w:r>
          </w:p>
        </w:tc>
        <w:tc>
          <w:tcPr>
            <w:tcW w:w="1250" w:type="dxa"/>
            <w:tcBorders>
              <w:top w:val="nil"/>
              <w:left w:val="nil"/>
              <w:bottom w:val="single" w:color="auto" w:sz="4" w:space="0"/>
              <w:right w:val="single" w:color="auto" w:sz="4" w:space="0"/>
            </w:tcBorders>
            <w:noWrap w:val="0"/>
            <w:vAlign w:val="center"/>
          </w:tcPr>
          <w:p>
            <w:pPr>
              <w:widowControl/>
              <w:spacing w:line="360" w:lineRule="auto"/>
              <w:jc w:val="center"/>
              <w:rPr>
                <w:rFonts w:ascii="宋体" w:hAnsi="宋体" w:cs="宋体"/>
                <w:kern w:val="0"/>
                <w:szCs w:val="24"/>
              </w:rPr>
            </w:pPr>
          </w:p>
        </w:tc>
      </w:tr>
    </w:tbl>
    <w:p>
      <w:pPr>
        <w:spacing w:line="360" w:lineRule="auto"/>
        <w:rPr>
          <w:rFonts w:hint="eastAsia" w:ascii="宋体" w:hAnsi="宋体"/>
          <w:b/>
          <w:bCs/>
          <w:kern w:val="44"/>
          <w:sz w:val="24"/>
          <w:szCs w:val="24"/>
        </w:rPr>
      </w:pPr>
      <w:bookmarkStart w:id="77" w:name="_Toc8654"/>
      <w:bookmarkStart w:id="78" w:name="_Toc770"/>
      <w:bookmarkStart w:id="79" w:name="_Toc19740"/>
      <w:bookmarkStart w:id="80" w:name="_Toc12959"/>
      <w:bookmarkStart w:id="81" w:name="_Toc807"/>
      <w:bookmarkStart w:id="82" w:name="_Toc15484"/>
      <w:bookmarkStart w:id="83" w:name="_Toc25401"/>
      <w:bookmarkStart w:id="84" w:name="_Toc16246"/>
    </w:p>
    <w:p>
      <w:pPr>
        <w:spacing w:line="360" w:lineRule="auto"/>
        <w:rPr>
          <w:rFonts w:ascii="宋体" w:hAnsi="宋体"/>
          <w:b/>
          <w:kern w:val="0"/>
          <w:sz w:val="24"/>
          <w:szCs w:val="24"/>
        </w:rPr>
      </w:pPr>
      <w:r>
        <w:rPr>
          <w:rFonts w:hint="eastAsia" w:ascii="宋体" w:hAnsi="宋体"/>
          <w:b/>
          <w:bCs/>
          <w:kern w:val="44"/>
          <w:sz w:val="24"/>
          <w:szCs w:val="24"/>
        </w:rPr>
        <w:t>6.设计与供货界限及接口原则</w:t>
      </w:r>
      <w:bookmarkEnd w:id="62"/>
      <w:bookmarkEnd w:id="63"/>
      <w:bookmarkEnd w:id="64"/>
      <w:bookmarkEnd w:id="77"/>
      <w:bookmarkEnd w:id="78"/>
      <w:bookmarkEnd w:id="79"/>
      <w:bookmarkEnd w:id="80"/>
      <w:bookmarkEnd w:id="81"/>
      <w:bookmarkEnd w:id="82"/>
      <w:bookmarkEnd w:id="83"/>
      <w:bookmarkEnd w:id="84"/>
    </w:p>
    <w:bookmarkEnd w:id="65"/>
    <w:bookmarkEnd w:id="66"/>
    <w:bookmarkEnd w:id="67"/>
    <w:bookmarkEnd w:id="68"/>
    <w:bookmarkEnd w:id="69"/>
    <w:bookmarkEnd w:id="70"/>
    <w:bookmarkEnd w:id="71"/>
    <w:bookmarkEnd w:id="72"/>
    <w:bookmarkEnd w:id="73"/>
    <w:bookmarkEnd w:id="74"/>
    <w:bookmarkEnd w:id="75"/>
    <w:bookmarkEnd w:id="76"/>
    <w:p>
      <w:pPr>
        <w:adjustRightInd w:val="0"/>
        <w:snapToGrid w:val="0"/>
        <w:spacing w:line="360" w:lineRule="auto"/>
        <w:rPr>
          <w:rFonts w:ascii="宋体" w:hAnsi="宋体" w:cs="宋体"/>
          <w:snapToGrid w:val="0"/>
          <w:kern w:val="0"/>
          <w:sz w:val="24"/>
          <w:szCs w:val="24"/>
        </w:rPr>
      </w:pPr>
      <w:r>
        <w:rPr>
          <w:rFonts w:hint="eastAsia" w:ascii="宋体" w:hAnsi="宋体" w:cs="宋体"/>
          <w:snapToGrid w:val="0"/>
          <w:kern w:val="0"/>
          <w:sz w:val="24"/>
          <w:szCs w:val="24"/>
        </w:rPr>
        <w:t>6.1供方基本工作范围应包括对供货范围内所含设备、结构、材料的设计、制造、测试、包装和发运配合服务等各项工作。</w:t>
      </w:r>
    </w:p>
    <w:p>
      <w:pPr>
        <w:adjustRightInd w:val="0"/>
        <w:snapToGrid w:val="0"/>
        <w:spacing w:line="360" w:lineRule="auto"/>
        <w:rPr>
          <w:rFonts w:ascii="宋体" w:hAnsi="宋体" w:cs="宋体"/>
          <w:snapToGrid w:val="0"/>
          <w:kern w:val="0"/>
          <w:sz w:val="24"/>
          <w:szCs w:val="24"/>
        </w:rPr>
      </w:pPr>
      <w:r>
        <w:rPr>
          <w:rFonts w:hint="eastAsia" w:ascii="宋体" w:hAnsi="宋体" w:cs="宋体"/>
          <w:snapToGrid w:val="0"/>
          <w:kern w:val="0"/>
          <w:sz w:val="24"/>
          <w:szCs w:val="24"/>
        </w:rPr>
        <w:t>6.2供方的工作范围还包括对设备的安装、校验、启动调试及初期试运行中的服务、培训。</w:t>
      </w:r>
    </w:p>
    <w:p>
      <w:pPr>
        <w:adjustRightInd w:val="0"/>
        <w:snapToGrid w:val="0"/>
        <w:spacing w:line="360" w:lineRule="auto"/>
        <w:rPr>
          <w:rFonts w:hint="eastAsia" w:ascii="宋体" w:hAnsi="宋体" w:cs="宋体"/>
          <w:sz w:val="24"/>
          <w:szCs w:val="24"/>
        </w:rPr>
      </w:pPr>
      <w:r>
        <w:rPr>
          <w:rFonts w:hint="eastAsia" w:ascii="宋体" w:hAnsi="宋体" w:cs="宋体"/>
          <w:sz w:val="24"/>
          <w:szCs w:val="24"/>
        </w:rPr>
        <w:t>6.3需方与供方有关测量、控制、信号回路的接口在各开关柜的端子排处。</w:t>
      </w:r>
      <w:bookmarkStart w:id="85" w:name="_Toc9557"/>
      <w:bookmarkStart w:id="86" w:name="_Toc19886"/>
      <w:bookmarkStart w:id="87" w:name="_Toc26853"/>
      <w:bookmarkStart w:id="88" w:name="_Toc25151"/>
      <w:bookmarkStart w:id="89" w:name="_Toc19201"/>
      <w:bookmarkStart w:id="90" w:name="_Toc8944"/>
      <w:bookmarkStart w:id="91" w:name="_Toc22778"/>
      <w:bookmarkStart w:id="92" w:name="_Toc12503"/>
      <w:bookmarkStart w:id="93" w:name="_Toc29814"/>
      <w:bookmarkStart w:id="94" w:name="_Toc9069"/>
      <w:bookmarkStart w:id="95" w:name="_Toc10270"/>
      <w:bookmarkStart w:id="96" w:name="_Toc17499"/>
      <w:bookmarkStart w:id="97" w:name="_Toc19149"/>
      <w:bookmarkStart w:id="98" w:name="_Toc24311"/>
      <w:bookmarkStart w:id="99" w:name="_Toc3922"/>
      <w:bookmarkStart w:id="100" w:name="_Toc11717"/>
      <w:bookmarkStart w:id="101" w:name="_Toc3663"/>
      <w:bookmarkStart w:id="102" w:name="_Toc12548"/>
      <w:bookmarkStart w:id="103" w:name="_Toc20988"/>
      <w:bookmarkStart w:id="104" w:name="_Toc16371"/>
      <w:bookmarkStart w:id="105" w:name="_Toc2411"/>
      <w:bookmarkStart w:id="106" w:name="_Toc6249"/>
      <w:bookmarkStart w:id="107" w:name="_Toc13501"/>
      <w:bookmarkStart w:id="108" w:name="_Toc14582"/>
      <w:bookmarkStart w:id="109" w:name="_Toc12409"/>
      <w:bookmarkStart w:id="110" w:name="_Toc25330"/>
      <w:bookmarkStart w:id="111" w:name="_Toc7671"/>
      <w:bookmarkStart w:id="112" w:name="_Toc27431"/>
      <w:bookmarkStart w:id="113" w:name="_Toc16421"/>
      <w:bookmarkStart w:id="114" w:name="_Toc17713"/>
      <w:bookmarkStart w:id="115" w:name="_Toc13638"/>
      <w:bookmarkStart w:id="116" w:name="_Toc29456"/>
      <w:bookmarkStart w:id="117" w:name="_Toc2587"/>
    </w:p>
    <w:p>
      <w:pPr>
        <w:spacing w:line="360" w:lineRule="auto"/>
        <w:rPr>
          <w:rFonts w:hint="eastAsia" w:ascii="宋体" w:hAnsi="宋体"/>
          <w:b/>
          <w:bCs/>
          <w:kern w:val="44"/>
          <w:sz w:val="24"/>
          <w:szCs w:val="24"/>
        </w:rPr>
      </w:pPr>
    </w:p>
    <w:p>
      <w:pPr>
        <w:spacing w:line="360" w:lineRule="auto"/>
        <w:rPr>
          <w:rFonts w:ascii="宋体" w:hAnsi="宋体"/>
          <w:b/>
          <w:sz w:val="24"/>
          <w:szCs w:val="24"/>
        </w:rPr>
      </w:pPr>
      <w:r>
        <w:rPr>
          <w:rFonts w:hint="eastAsia" w:ascii="宋体" w:hAnsi="宋体"/>
          <w:b/>
          <w:bCs/>
          <w:kern w:val="44"/>
          <w:sz w:val="24"/>
          <w:szCs w:val="24"/>
        </w:rPr>
        <w:t>7.质量保证及考核试验</w:t>
      </w:r>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p>
    <w:p>
      <w:pPr>
        <w:adjustRightInd w:val="0"/>
        <w:snapToGrid w:val="0"/>
        <w:spacing w:line="360" w:lineRule="auto"/>
        <w:rPr>
          <w:rFonts w:ascii="宋体" w:hAnsi="宋体" w:cs="宋体"/>
          <w:snapToGrid w:val="0"/>
          <w:kern w:val="0"/>
          <w:sz w:val="24"/>
          <w:szCs w:val="24"/>
        </w:rPr>
      </w:pPr>
      <w:r>
        <w:rPr>
          <w:rFonts w:hint="eastAsia" w:ascii="宋体" w:hAnsi="宋体" w:cs="宋体"/>
          <w:snapToGrid w:val="0"/>
          <w:kern w:val="0"/>
          <w:sz w:val="24"/>
          <w:szCs w:val="24"/>
        </w:rPr>
        <w:t>7.1 供方所供的新产品满足本</w:t>
      </w:r>
      <w:r>
        <w:rPr>
          <w:rFonts w:hint="eastAsia" w:ascii="宋体" w:hAnsi="宋体" w:cs="宋体"/>
          <w:snapToGrid w:val="0"/>
          <w:kern w:val="0"/>
          <w:sz w:val="24"/>
          <w:szCs w:val="24"/>
          <w:lang w:eastAsia="zh-CN"/>
        </w:rPr>
        <w:t>项目</w:t>
      </w:r>
      <w:r>
        <w:rPr>
          <w:rFonts w:hint="eastAsia" w:ascii="宋体" w:hAnsi="宋体" w:cs="宋体"/>
          <w:snapToGrid w:val="0"/>
          <w:kern w:val="0"/>
          <w:sz w:val="24"/>
          <w:szCs w:val="24"/>
        </w:rPr>
        <w:t>的要求。</w:t>
      </w:r>
    </w:p>
    <w:p>
      <w:pPr>
        <w:spacing w:before="78" w:beforeLines="25" w:after="78" w:afterLines="25" w:line="360" w:lineRule="auto"/>
        <w:rPr>
          <w:rFonts w:ascii="宋体" w:hAnsi="宋体" w:cs="宋体"/>
          <w:snapToGrid w:val="0"/>
          <w:kern w:val="0"/>
          <w:sz w:val="24"/>
          <w:szCs w:val="24"/>
        </w:rPr>
      </w:pPr>
      <w:r>
        <w:rPr>
          <w:rFonts w:hint="eastAsia" w:ascii="宋体" w:hAnsi="宋体" w:cs="宋体"/>
          <w:snapToGrid w:val="0"/>
          <w:kern w:val="0"/>
          <w:sz w:val="24"/>
          <w:szCs w:val="24"/>
        </w:rPr>
        <w:t>7.2 供方保证制造过程的所有工艺、材料等（包括供方的外购件在内）均符合技术协议的规定。</w:t>
      </w:r>
    </w:p>
    <w:p>
      <w:pPr>
        <w:spacing w:before="78" w:beforeLines="25" w:after="78" w:afterLines="25" w:line="360" w:lineRule="auto"/>
        <w:rPr>
          <w:rFonts w:ascii="宋体" w:hAnsi="宋体" w:cs="宋体"/>
          <w:snapToGrid w:val="0"/>
          <w:kern w:val="0"/>
          <w:sz w:val="24"/>
          <w:szCs w:val="24"/>
        </w:rPr>
      </w:pPr>
      <w:r>
        <w:rPr>
          <w:rFonts w:hint="eastAsia" w:ascii="宋体" w:hAnsi="宋体" w:cs="宋体"/>
          <w:snapToGrid w:val="0"/>
          <w:kern w:val="0"/>
          <w:sz w:val="24"/>
          <w:szCs w:val="24"/>
        </w:rPr>
        <w:t>7.3 设备质保期见商务合同的相关规定。</w:t>
      </w:r>
    </w:p>
    <w:p>
      <w:pPr>
        <w:adjustRightInd w:val="0"/>
        <w:snapToGrid w:val="0"/>
        <w:spacing w:line="360" w:lineRule="auto"/>
        <w:rPr>
          <w:rFonts w:ascii="宋体" w:hAnsi="宋体" w:cs="宋体"/>
          <w:snapToGrid w:val="0"/>
          <w:kern w:val="0"/>
          <w:sz w:val="24"/>
          <w:szCs w:val="24"/>
        </w:rPr>
      </w:pPr>
      <w:r>
        <w:rPr>
          <w:rFonts w:hint="eastAsia" w:ascii="宋体" w:hAnsi="宋体" w:cs="宋体"/>
          <w:snapToGrid w:val="0"/>
          <w:kern w:val="0"/>
          <w:sz w:val="24"/>
          <w:szCs w:val="24"/>
        </w:rPr>
        <w:t>7.4 在质量保证期限内，因制造质量不良而发生损坏或不能正常工作时，供方应无偿地为业主修理或更换部件。具体内容见商务合同。</w:t>
      </w:r>
    </w:p>
    <w:p>
      <w:pPr>
        <w:spacing w:line="360" w:lineRule="auto"/>
        <w:rPr>
          <w:rFonts w:hint="eastAsia" w:ascii="宋体" w:hAnsi="宋体"/>
          <w:b/>
          <w:bCs/>
          <w:kern w:val="44"/>
          <w:sz w:val="24"/>
          <w:szCs w:val="24"/>
        </w:rPr>
      </w:pPr>
      <w:bookmarkStart w:id="118" w:name="_Toc31987"/>
    </w:p>
    <w:p>
      <w:pPr>
        <w:spacing w:line="360" w:lineRule="auto"/>
        <w:rPr>
          <w:rFonts w:ascii="宋体" w:hAnsi="宋体"/>
          <w:b/>
          <w:bCs/>
          <w:kern w:val="44"/>
          <w:sz w:val="24"/>
          <w:szCs w:val="24"/>
        </w:rPr>
      </w:pPr>
      <w:r>
        <w:rPr>
          <w:rFonts w:hint="eastAsia" w:ascii="宋体" w:hAnsi="宋体"/>
          <w:b/>
          <w:bCs/>
          <w:kern w:val="44"/>
          <w:sz w:val="24"/>
          <w:szCs w:val="24"/>
        </w:rPr>
        <w:t>8.安装、调试、试运行和验收</w:t>
      </w:r>
      <w:bookmarkEnd w:id="118"/>
    </w:p>
    <w:p>
      <w:pPr>
        <w:spacing w:line="360" w:lineRule="auto"/>
        <w:rPr>
          <w:rFonts w:ascii="宋体" w:hAnsi="宋体" w:cs="宋体"/>
          <w:sz w:val="24"/>
          <w:szCs w:val="24"/>
        </w:rPr>
      </w:pPr>
      <w:r>
        <w:rPr>
          <w:rFonts w:hint="eastAsia" w:ascii="宋体" w:hAnsi="宋体" w:cs="宋体"/>
          <w:sz w:val="24"/>
          <w:szCs w:val="24"/>
        </w:rPr>
        <w:t>8.1 设备的安装、调试、试运行由需方根据供方提供的技术文件和说明书的规定在供方技术人员指导下进行。</w:t>
      </w:r>
    </w:p>
    <w:p>
      <w:pPr>
        <w:spacing w:line="360" w:lineRule="auto"/>
        <w:rPr>
          <w:rFonts w:ascii="宋体" w:hAnsi="宋体" w:cs="宋体"/>
          <w:sz w:val="24"/>
          <w:szCs w:val="24"/>
        </w:rPr>
      </w:pPr>
      <w:r>
        <w:rPr>
          <w:rFonts w:hint="eastAsia" w:ascii="宋体" w:hAnsi="宋体" w:cs="宋体"/>
          <w:sz w:val="24"/>
          <w:szCs w:val="24"/>
        </w:rPr>
        <w:t>8.2设备的试验、试运行和验收根据相应的标准、规程规范进行。</w:t>
      </w:r>
    </w:p>
    <w:p>
      <w:pPr>
        <w:spacing w:line="360" w:lineRule="auto"/>
        <w:rPr>
          <w:rFonts w:ascii="宋体" w:hAnsi="宋体" w:cs="宋体"/>
          <w:sz w:val="24"/>
          <w:szCs w:val="24"/>
        </w:rPr>
      </w:pPr>
      <w:r>
        <w:rPr>
          <w:rFonts w:hint="eastAsia" w:ascii="宋体" w:hAnsi="宋体" w:cs="宋体"/>
          <w:sz w:val="24"/>
          <w:szCs w:val="24"/>
        </w:rPr>
        <w:t>8.3 完成设备安装后，需方和供方应检查和确认安装工作，并签署安装工作证明书，共两份、双方各执一份。</w:t>
      </w:r>
    </w:p>
    <w:p>
      <w:pPr>
        <w:spacing w:line="360" w:lineRule="auto"/>
        <w:rPr>
          <w:rFonts w:ascii="宋体" w:hAnsi="宋体" w:cs="宋体"/>
          <w:sz w:val="24"/>
          <w:szCs w:val="24"/>
        </w:rPr>
      </w:pPr>
      <w:r>
        <w:rPr>
          <w:rFonts w:hint="eastAsia" w:ascii="宋体" w:hAnsi="宋体" w:cs="宋体"/>
          <w:sz w:val="24"/>
          <w:szCs w:val="24"/>
        </w:rPr>
        <w:t>8.4 验收时间为安装、调试和连续试运行一周完成后，如果所有的设备都已达到各项技术指标，买卖双方可签署合同设备的验收证明书，该证明书共两份、双方各执一份。</w:t>
      </w:r>
    </w:p>
    <w:p>
      <w:pPr>
        <w:spacing w:line="360" w:lineRule="auto"/>
        <w:rPr>
          <w:rFonts w:hint="eastAsia" w:ascii="宋体" w:hAnsi="宋体" w:cs="宋体"/>
          <w:sz w:val="24"/>
          <w:szCs w:val="24"/>
        </w:rPr>
      </w:pPr>
      <w:r>
        <w:rPr>
          <w:rFonts w:hint="eastAsia" w:ascii="宋体" w:hAnsi="宋体" w:cs="宋体"/>
          <w:sz w:val="24"/>
          <w:szCs w:val="24"/>
        </w:rPr>
        <w:t>8.5 对于安装、调试、试运行及质保期内技术指标一项或多项不能满足合同要求，买卖双方共同分析原因，分清责任，如属卖方的原因，涉及索赔部分按</w:t>
      </w:r>
      <w:r>
        <w:rPr>
          <w:rFonts w:hint="eastAsia" w:ascii="宋体" w:hAnsi="宋体" w:cs="宋体"/>
          <w:sz w:val="24"/>
          <w:szCs w:val="24"/>
          <w:lang w:eastAsia="zh-CN"/>
        </w:rPr>
        <w:t>合同</w:t>
      </w:r>
      <w:r>
        <w:rPr>
          <w:rFonts w:hint="eastAsia" w:ascii="宋体" w:hAnsi="宋体" w:cs="宋体"/>
          <w:sz w:val="24"/>
          <w:szCs w:val="24"/>
        </w:rPr>
        <w:t>条款执行。</w:t>
      </w:r>
      <w:bookmarkStart w:id="119" w:name="_Toc26852"/>
      <w:bookmarkStart w:id="120" w:name="_Toc29002"/>
      <w:bookmarkStart w:id="121" w:name="_Toc18362"/>
      <w:bookmarkStart w:id="122" w:name="_Toc16725"/>
      <w:bookmarkStart w:id="123" w:name="_Toc297"/>
      <w:bookmarkStart w:id="124" w:name="_Toc19631"/>
      <w:bookmarkStart w:id="125" w:name="_Toc1270"/>
      <w:bookmarkStart w:id="126" w:name="_Toc19081"/>
      <w:bookmarkStart w:id="127" w:name="_Toc11968"/>
      <w:bookmarkStart w:id="128" w:name="_Toc21359"/>
      <w:bookmarkStart w:id="129" w:name="_Toc19471"/>
      <w:bookmarkStart w:id="130" w:name="_Toc26153"/>
      <w:bookmarkStart w:id="131" w:name="_Toc14882"/>
      <w:bookmarkStart w:id="132" w:name="_Toc8150"/>
      <w:bookmarkStart w:id="133" w:name="_Toc13163"/>
      <w:bookmarkStart w:id="134" w:name="_Toc6177"/>
      <w:bookmarkStart w:id="135" w:name="_Toc22342"/>
      <w:bookmarkStart w:id="136" w:name="_Toc5391"/>
      <w:bookmarkStart w:id="137" w:name="_Toc17617"/>
      <w:bookmarkStart w:id="138" w:name="_Toc11310"/>
      <w:bookmarkStart w:id="139" w:name="_Toc16050"/>
      <w:bookmarkStart w:id="140" w:name="_Toc12521"/>
      <w:bookmarkStart w:id="141" w:name="_Toc27113"/>
      <w:bookmarkStart w:id="142" w:name="_Toc14730"/>
      <w:bookmarkStart w:id="143" w:name="_Toc5544"/>
      <w:bookmarkStart w:id="144" w:name="_Toc22678"/>
      <w:bookmarkStart w:id="145" w:name="_Toc18825"/>
      <w:bookmarkStart w:id="146" w:name="_Toc11142"/>
      <w:bookmarkStart w:id="147" w:name="_Toc7600"/>
      <w:bookmarkStart w:id="148" w:name="_Toc8896"/>
      <w:bookmarkStart w:id="149" w:name="_Toc28950"/>
      <w:bookmarkStart w:id="150" w:name="_Toc12562"/>
      <w:bookmarkStart w:id="151" w:name="_Toc18870"/>
    </w:p>
    <w:p>
      <w:pPr>
        <w:spacing w:line="360" w:lineRule="auto"/>
        <w:rPr>
          <w:rFonts w:hint="eastAsia" w:ascii="宋体" w:hAnsi="宋体" w:cs="宋体"/>
          <w:sz w:val="24"/>
          <w:szCs w:val="24"/>
        </w:rPr>
      </w:pPr>
    </w:p>
    <w:p>
      <w:pPr>
        <w:spacing w:line="360" w:lineRule="auto"/>
        <w:rPr>
          <w:rFonts w:ascii="宋体" w:hAnsi="宋体" w:cs="宋体"/>
          <w:b/>
          <w:sz w:val="24"/>
          <w:szCs w:val="24"/>
        </w:rPr>
      </w:pPr>
      <w:r>
        <w:rPr>
          <w:rFonts w:hint="eastAsia" w:ascii="宋体" w:hAnsi="宋体" w:cs="宋体"/>
          <w:b/>
          <w:sz w:val="24"/>
          <w:szCs w:val="24"/>
        </w:rPr>
        <w:t>9.技术文件和图纸的交付进度</w:t>
      </w:r>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pPr>
        <w:spacing w:line="360" w:lineRule="auto"/>
        <w:rPr>
          <w:rFonts w:ascii="宋体" w:hAnsi="宋体"/>
          <w:sz w:val="24"/>
          <w:szCs w:val="24"/>
        </w:rPr>
      </w:pPr>
      <w:bookmarkStart w:id="152" w:name="_Toc22989"/>
      <w:bookmarkStart w:id="153" w:name="_Toc22191"/>
      <w:bookmarkStart w:id="154" w:name="_Toc3858"/>
      <w:bookmarkStart w:id="155" w:name="_Toc44125062"/>
      <w:bookmarkStart w:id="156" w:name="_Toc43778313"/>
      <w:bookmarkStart w:id="157" w:name="_Toc20554"/>
      <w:bookmarkStart w:id="158" w:name="_Toc29115"/>
      <w:bookmarkStart w:id="159" w:name="_Toc51160200"/>
      <w:r>
        <w:rPr>
          <w:rFonts w:hint="eastAsia" w:ascii="宋体" w:hAnsi="宋体"/>
          <w:sz w:val="24"/>
          <w:szCs w:val="24"/>
        </w:rPr>
        <w:t>9</w:t>
      </w:r>
      <w:r>
        <w:rPr>
          <w:rFonts w:ascii="宋体" w:hAnsi="宋体"/>
          <w:sz w:val="24"/>
          <w:szCs w:val="24"/>
        </w:rPr>
        <w:t>.</w:t>
      </w:r>
      <w:r>
        <w:rPr>
          <w:rFonts w:hint="eastAsia" w:ascii="宋体" w:hAnsi="宋体"/>
          <w:sz w:val="24"/>
          <w:szCs w:val="24"/>
        </w:rPr>
        <w:t xml:space="preserve">1  </w:t>
      </w:r>
      <w:r>
        <w:rPr>
          <w:rFonts w:hint="eastAsia" w:ascii="宋体" w:hAnsi="宋体" w:cs="Arial"/>
          <w:snapToGrid w:val="0"/>
          <w:kern w:val="0"/>
          <w:sz w:val="24"/>
          <w:szCs w:val="24"/>
        </w:rPr>
        <w:t>供方提供的资料所使用的为国家法定单位制即国际单位制，语言为中文。</w:t>
      </w:r>
    </w:p>
    <w:p>
      <w:pPr>
        <w:spacing w:line="360" w:lineRule="auto"/>
        <w:rPr>
          <w:rFonts w:ascii="宋体" w:hAnsi="宋体"/>
          <w:sz w:val="24"/>
          <w:szCs w:val="24"/>
        </w:rPr>
      </w:pPr>
      <w:r>
        <w:rPr>
          <w:rFonts w:hint="eastAsia" w:ascii="宋体" w:hAnsi="宋体"/>
          <w:sz w:val="24"/>
          <w:szCs w:val="24"/>
        </w:rPr>
        <w:t>9.2  资料的组织结构清晰、逻辑性强。资料内容正确、准确、一致、清晰完整，满足工程要求。</w:t>
      </w:r>
    </w:p>
    <w:p>
      <w:pPr>
        <w:spacing w:line="360" w:lineRule="auto"/>
        <w:rPr>
          <w:rFonts w:ascii="宋体" w:hAnsi="宋体"/>
          <w:sz w:val="24"/>
          <w:szCs w:val="24"/>
        </w:rPr>
      </w:pPr>
      <w:r>
        <w:rPr>
          <w:rFonts w:hint="eastAsia" w:ascii="宋体" w:hAnsi="宋体"/>
          <w:sz w:val="24"/>
          <w:szCs w:val="24"/>
        </w:rPr>
        <w:t>9</w:t>
      </w:r>
      <w:r>
        <w:rPr>
          <w:rFonts w:ascii="宋体" w:hAnsi="宋体"/>
          <w:sz w:val="24"/>
          <w:szCs w:val="24"/>
        </w:rPr>
        <w:t>.</w:t>
      </w:r>
      <w:r>
        <w:rPr>
          <w:rFonts w:hint="eastAsia" w:ascii="宋体" w:hAnsi="宋体"/>
          <w:sz w:val="24"/>
          <w:szCs w:val="24"/>
        </w:rPr>
        <w:t>3  供方资料的提交及时、充分，满足工程进度要求。预中标后, 供方应负责编写并出版所供产品的的技术协议, 并经需方和设计方确认。</w:t>
      </w:r>
    </w:p>
    <w:p>
      <w:pPr>
        <w:spacing w:line="360" w:lineRule="auto"/>
        <w:rPr>
          <w:rFonts w:ascii="宋体" w:hAnsi="宋体"/>
          <w:sz w:val="24"/>
          <w:szCs w:val="24"/>
        </w:rPr>
      </w:pPr>
      <w:r>
        <w:rPr>
          <w:rFonts w:hint="eastAsia" w:ascii="宋体" w:hAnsi="宋体"/>
          <w:sz w:val="24"/>
          <w:szCs w:val="24"/>
        </w:rPr>
        <w:t>9.4  对于其它没有列入合同技术资料清单，却是工程所必需文件和资料，一经发现，供方应及时提供。</w:t>
      </w:r>
    </w:p>
    <w:p>
      <w:pPr>
        <w:spacing w:line="360" w:lineRule="auto"/>
        <w:rPr>
          <w:rFonts w:ascii="宋体" w:hAnsi="宋体"/>
          <w:sz w:val="24"/>
          <w:szCs w:val="24"/>
        </w:rPr>
      </w:pPr>
      <w:r>
        <w:rPr>
          <w:rFonts w:hint="eastAsia" w:ascii="宋体" w:hAnsi="宋体"/>
          <w:sz w:val="24"/>
          <w:szCs w:val="24"/>
        </w:rPr>
        <w:t>9.5  供方要及时提供与合同设备设计制造有关的资料。</w:t>
      </w:r>
    </w:p>
    <w:p>
      <w:pPr>
        <w:spacing w:line="360" w:lineRule="auto"/>
        <w:rPr>
          <w:rFonts w:ascii="宋体" w:hAnsi="宋体"/>
          <w:b/>
          <w:sz w:val="24"/>
          <w:szCs w:val="24"/>
        </w:rPr>
      </w:pPr>
      <w:r>
        <w:rPr>
          <w:rFonts w:hint="eastAsia" w:ascii="宋体" w:hAnsi="宋体"/>
          <w:sz w:val="24"/>
          <w:szCs w:val="24"/>
        </w:rPr>
        <w:t>9</w:t>
      </w:r>
      <w:r>
        <w:rPr>
          <w:rFonts w:ascii="宋体" w:hAnsi="宋体"/>
          <w:sz w:val="24"/>
          <w:szCs w:val="24"/>
        </w:rPr>
        <w:t>.</w:t>
      </w:r>
      <w:r>
        <w:rPr>
          <w:rFonts w:hint="eastAsia" w:ascii="宋体" w:hAnsi="宋体"/>
          <w:sz w:val="24"/>
          <w:szCs w:val="24"/>
        </w:rPr>
        <w:t>6完工后的产品应与最后确认的图纸一致。设备在现场安装时，如供方技术人员进一步修改图纸，供方应对图纸重新收编成册，正式递交需方，并保证安装后的设备与图纸完全相符。</w:t>
      </w:r>
    </w:p>
    <w:p>
      <w:pPr>
        <w:spacing w:line="360" w:lineRule="auto"/>
        <w:rPr>
          <w:rFonts w:hint="eastAsia" w:ascii="宋体" w:hAnsi="宋体" w:cs="宋体"/>
          <w:b/>
          <w:sz w:val="24"/>
          <w:szCs w:val="24"/>
        </w:rPr>
      </w:pPr>
      <w:bookmarkStart w:id="160" w:name="_Toc12434"/>
      <w:bookmarkStart w:id="161" w:name="_Toc6793"/>
      <w:bookmarkStart w:id="162" w:name="_Toc32497"/>
      <w:bookmarkStart w:id="163" w:name="_Toc10429"/>
      <w:bookmarkStart w:id="164" w:name="_Toc10832"/>
      <w:bookmarkStart w:id="165" w:name="_Toc26697"/>
      <w:bookmarkStart w:id="166" w:name="_Toc26694"/>
      <w:bookmarkStart w:id="167" w:name="_Toc8208"/>
      <w:bookmarkStart w:id="168" w:name="_Toc15557"/>
      <w:bookmarkStart w:id="169" w:name="_Toc1687"/>
      <w:bookmarkStart w:id="170" w:name="_Toc29202"/>
      <w:bookmarkStart w:id="171" w:name="_Toc23810"/>
      <w:bookmarkStart w:id="172" w:name="_Toc18583"/>
      <w:bookmarkStart w:id="173" w:name="_Toc1648"/>
    </w:p>
    <w:p>
      <w:pPr>
        <w:spacing w:line="360" w:lineRule="auto"/>
        <w:rPr>
          <w:rFonts w:ascii="宋体" w:hAnsi="宋体" w:cs="宋体"/>
          <w:b/>
          <w:sz w:val="24"/>
          <w:szCs w:val="24"/>
        </w:rPr>
      </w:pPr>
      <w:r>
        <w:rPr>
          <w:rFonts w:hint="eastAsia" w:ascii="宋体" w:hAnsi="宋体" w:cs="宋体"/>
          <w:b/>
          <w:sz w:val="24"/>
          <w:szCs w:val="24"/>
        </w:rPr>
        <w:t>10.随设备出厂的图纸和资料</w:t>
      </w:r>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p>
    <w:p>
      <w:pPr>
        <w:pStyle w:val="2"/>
        <w:ind w:firstLine="480" w:firstLineChars="200"/>
        <w:rPr>
          <w:rFonts w:ascii="宋体" w:hAnsi="宋体"/>
          <w:szCs w:val="24"/>
        </w:rPr>
      </w:pPr>
      <w:r>
        <w:rPr>
          <w:rFonts w:hint="eastAsia" w:ascii="宋体" w:hAnsi="宋体"/>
          <w:szCs w:val="24"/>
        </w:rPr>
        <w:t>设备供货时提供下列资料给需方共</w:t>
      </w:r>
      <w:r>
        <w:rPr>
          <w:rFonts w:hint="eastAsia" w:ascii="宋体" w:hAnsi="宋体"/>
          <w:szCs w:val="24"/>
          <w:lang w:val="en-US" w:eastAsia="zh-CN"/>
        </w:rPr>
        <w:t>2</w:t>
      </w:r>
      <w:r>
        <w:rPr>
          <w:rFonts w:hint="eastAsia" w:ascii="宋体" w:hAnsi="宋体"/>
          <w:szCs w:val="24"/>
        </w:rPr>
        <w:t>份，另提供电子文件</w:t>
      </w:r>
      <w:r>
        <w:rPr>
          <w:rFonts w:hint="eastAsia" w:ascii="宋体" w:hAnsi="宋体"/>
          <w:szCs w:val="24"/>
          <w:lang w:val="en-US" w:eastAsia="zh-CN"/>
        </w:rPr>
        <w:t>1</w:t>
      </w:r>
      <w:r>
        <w:rPr>
          <w:rFonts w:hint="eastAsia" w:ascii="宋体" w:hAnsi="宋体"/>
          <w:szCs w:val="24"/>
        </w:rPr>
        <w:t>套(其中</w:t>
      </w:r>
      <w:r>
        <w:rPr>
          <w:rFonts w:hint="eastAsia" w:ascii="宋体" w:hAnsi="宋体"/>
          <w:szCs w:val="24"/>
          <w:lang w:val="en-US" w:eastAsia="zh-CN"/>
        </w:rPr>
        <w:t>1</w:t>
      </w:r>
      <w:r>
        <w:rPr>
          <w:rFonts w:hint="eastAsia" w:ascii="宋体" w:hAnsi="宋体"/>
          <w:szCs w:val="24"/>
        </w:rPr>
        <w:t>套及电子文件随设备发运，另外</w:t>
      </w:r>
      <w:r>
        <w:rPr>
          <w:rFonts w:hint="eastAsia" w:ascii="宋体" w:hAnsi="宋体"/>
          <w:szCs w:val="24"/>
          <w:lang w:val="en-US" w:eastAsia="zh-CN"/>
        </w:rPr>
        <w:t>1</w:t>
      </w:r>
      <w:r>
        <w:rPr>
          <w:rFonts w:hint="eastAsia" w:ascii="宋体" w:hAnsi="宋体"/>
          <w:szCs w:val="24"/>
        </w:rPr>
        <w:t>套及电子文件在设备发运前邮寄给需方)：</w:t>
      </w:r>
    </w:p>
    <w:p>
      <w:pPr>
        <w:spacing w:line="360" w:lineRule="auto"/>
        <w:ind w:firstLine="480" w:firstLineChars="200"/>
        <w:rPr>
          <w:rFonts w:ascii="宋体" w:hAnsi="宋体"/>
          <w:sz w:val="24"/>
          <w:szCs w:val="24"/>
        </w:rPr>
      </w:pPr>
      <w:r>
        <w:rPr>
          <w:rFonts w:hint="eastAsia" w:ascii="宋体" w:hAnsi="宋体"/>
          <w:sz w:val="24"/>
          <w:szCs w:val="24"/>
        </w:rPr>
        <w:t>1)部件清单资料；</w:t>
      </w:r>
    </w:p>
    <w:p>
      <w:pPr>
        <w:spacing w:line="360" w:lineRule="auto"/>
        <w:ind w:firstLine="480" w:firstLineChars="200"/>
        <w:rPr>
          <w:rFonts w:ascii="宋体" w:hAnsi="宋体"/>
          <w:sz w:val="24"/>
          <w:szCs w:val="24"/>
        </w:rPr>
      </w:pPr>
      <w:r>
        <w:rPr>
          <w:rFonts w:hint="eastAsia" w:ascii="宋体" w:hAnsi="宋体"/>
          <w:sz w:val="24"/>
          <w:szCs w:val="24"/>
        </w:rPr>
        <w:t>2)工厂试验报告；</w:t>
      </w:r>
    </w:p>
    <w:p>
      <w:pPr>
        <w:spacing w:line="360" w:lineRule="auto"/>
        <w:ind w:firstLine="480" w:firstLineChars="200"/>
        <w:rPr>
          <w:rFonts w:ascii="宋体" w:hAnsi="宋体"/>
          <w:sz w:val="24"/>
          <w:szCs w:val="24"/>
        </w:rPr>
      </w:pPr>
      <w:r>
        <w:rPr>
          <w:rFonts w:hint="eastAsia" w:ascii="宋体" w:hAnsi="宋体"/>
          <w:sz w:val="24"/>
          <w:szCs w:val="24"/>
        </w:rPr>
        <w:t>3)质量证明文件；</w:t>
      </w:r>
    </w:p>
    <w:p>
      <w:pPr>
        <w:spacing w:line="360" w:lineRule="auto"/>
        <w:ind w:firstLine="480" w:firstLineChars="200"/>
        <w:rPr>
          <w:rFonts w:ascii="宋体" w:hAnsi="宋体"/>
          <w:sz w:val="24"/>
          <w:szCs w:val="24"/>
        </w:rPr>
      </w:pPr>
      <w:r>
        <w:rPr>
          <w:rFonts w:hint="eastAsia" w:ascii="宋体" w:hAnsi="宋体"/>
          <w:sz w:val="24"/>
          <w:szCs w:val="24"/>
        </w:rPr>
        <w:t>4)运行使用说明书；</w:t>
      </w:r>
    </w:p>
    <w:p>
      <w:pPr>
        <w:spacing w:line="360" w:lineRule="auto"/>
        <w:ind w:firstLine="480" w:firstLineChars="200"/>
        <w:rPr>
          <w:rFonts w:ascii="宋体" w:hAnsi="宋体"/>
          <w:sz w:val="24"/>
          <w:szCs w:val="24"/>
        </w:rPr>
      </w:pPr>
      <w:r>
        <w:rPr>
          <w:rFonts w:hint="eastAsia" w:ascii="宋体" w:hAnsi="宋体"/>
          <w:sz w:val="24"/>
          <w:szCs w:val="24"/>
        </w:rPr>
        <w:t>6)装配图和安装说明书；</w:t>
      </w:r>
    </w:p>
    <w:p>
      <w:pPr>
        <w:spacing w:line="360" w:lineRule="auto"/>
        <w:ind w:firstLine="480" w:firstLineChars="200"/>
        <w:rPr>
          <w:rFonts w:ascii="宋体" w:hAnsi="宋体"/>
          <w:sz w:val="24"/>
          <w:szCs w:val="24"/>
        </w:rPr>
      </w:pPr>
      <w:r>
        <w:rPr>
          <w:rFonts w:hint="eastAsia" w:ascii="宋体" w:hAnsi="宋体"/>
          <w:sz w:val="24"/>
          <w:szCs w:val="24"/>
        </w:rPr>
        <w:t>7)其他满足安装、调试、生产运行所需要的资料。</w:t>
      </w:r>
    </w:p>
    <w:p>
      <w:pPr>
        <w:spacing w:line="360" w:lineRule="auto"/>
        <w:ind w:firstLine="480" w:firstLineChars="200"/>
        <w:rPr>
          <w:rFonts w:hint="eastAsia" w:ascii="宋体" w:hAnsi="宋体"/>
          <w:sz w:val="24"/>
          <w:szCs w:val="24"/>
        </w:rPr>
      </w:pPr>
      <w:r>
        <w:rPr>
          <w:rFonts w:hint="eastAsia" w:ascii="宋体" w:hAnsi="宋体"/>
          <w:sz w:val="24"/>
          <w:szCs w:val="24"/>
        </w:rPr>
        <w:t>供方提供的图纸、资料应满足设计、施工、调试及运行的需要。</w:t>
      </w:r>
      <w:bookmarkEnd w:id="152"/>
      <w:bookmarkEnd w:id="153"/>
      <w:bookmarkEnd w:id="154"/>
      <w:bookmarkEnd w:id="155"/>
      <w:bookmarkEnd w:id="156"/>
      <w:bookmarkEnd w:id="157"/>
      <w:bookmarkEnd w:id="158"/>
      <w:bookmarkEnd w:id="159"/>
      <w:bookmarkStart w:id="174" w:name="_Toc26759"/>
      <w:bookmarkStart w:id="175" w:name="_Toc12164"/>
      <w:bookmarkStart w:id="176" w:name="_Toc31998"/>
      <w:bookmarkStart w:id="177" w:name="_Toc6251"/>
      <w:bookmarkStart w:id="178" w:name="_Toc22969"/>
      <w:bookmarkStart w:id="179" w:name="_Toc30053"/>
      <w:bookmarkStart w:id="180" w:name="_Toc17063"/>
      <w:bookmarkStart w:id="181" w:name="_Toc27657"/>
      <w:bookmarkStart w:id="182" w:name="_Toc16537"/>
      <w:bookmarkStart w:id="183" w:name="_Toc21757"/>
      <w:bookmarkStart w:id="184" w:name="_Toc23913"/>
      <w:bookmarkStart w:id="185" w:name="_Toc29611"/>
      <w:bookmarkStart w:id="186" w:name="_Toc3769"/>
      <w:bookmarkStart w:id="187" w:name="_Toc2573"/>
      <w:bookmarkStart w:id="188" w:name="_Toc13950"/>
      <w:bookmarkStart w:id="189" w:name="_Toc26702"/>
      <w:bookmarkStart w:id="190" w:name="_Toc15577"/>
      <w:bookmarkStart w:id="191" w:name="_Toc24006"/>
      <w:bookmarkStart w:id="192" w:name="_Toc31415"/>
      <w:bookmarkStart w:id="193" w:name="_Toc7613"/>
      <w:bookmarkStart w:id="194" w:name="_Toc30683"/>
      <w:bookmarkStart w:id="195" w:name="_Toc32698"/>
      <w:bookmarkStart w:id="196" w:name="_Toc3304"/>
      <w:bookmarkStart w:id="197" w:name="_Toc13420"/>
      <w:bookmarkStart w:id="198" w:name="_Toc31170"/>
      <w:bookmarkStart w:id="199" w:name="_Toc12273"/>
      <w:bookmarkStart w:id="200" w:name="_Toc22204"/>
      <w:bookmarkStart w:id="201" w:name="_Toc26903"/>
      <w:bookmarkStart w:id="202" w:name="_Toc165003870"/>
      <w:bookmarkStart w:id="203" w:name="_Toc15591"/>
      <w:bookmarkStart w:id="204" w:name="_Toc29065"/>
      <w:bookmarkStart w:id="205" w:name="_Toc26113"/>
      <w:bookmarkStart w:id="206" w:name="_Toc11863"/>
      <w:bookmarkStart w:id="207" w:name="_Toc28826"/>
    </w:p>
    <w:p>
      <w:pPr>
        <w:spacing w:line="360" w:lineRule="auto"/>
        <w:ind w:firstLine="480" w:firstLineChars="200"/>
        <w:rPr>
          <w:rFonts w:hint="eastAsia" w:ascii="宋体" w:hAnsi="宋体"/>
          <w:sz w:val="24"/>
          <w:szCs w:val="24"/>
        </w:rPr>
      </w:pPr>
    </w:p>
    <w:p>
      <w:pPr>
        <w:spacing w:line="360" w:lineRule="auto"/>
        <w:rPr>
          <w:rFonts w:ascii="宋体" w:hAnsi="宋体"/>
          <w:b/>
          <w:sz w:val="24"/>
          <w:szCs w:val="24"/>
        </w:rPr>
      </w:pPr>
      <w:r>
        <w:rPr>
          <w:rFonts w:hint="eastAsia" w:ascii="宋体" w:hAnsi="宋体" w:cs="宋体"/>
          <w:b/>
          <w:sz w:val="24"/>
          <w:szCs w:val="24"/>
        </w:rPr>
        <w:t>11.工厂检验</w:t>
      </w:r>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p>
    <w:p>
      <w:pPr>
        <w:tabs>
          <w:tab w:val="left" w:pos="600"/>
        </w:tabs>
        <w:adjustRightInd w:val="0"/>
        <w:snapToGrid w:val="0"/>
        <w:spacing w:line="360" w:lineRule="auto"/>
        <w:rPr>
          <w:rFonts w:ascii="宋体" w:hAnsi="宋体"/>
          <w:snapToGrid w:val="0"/>
          <w:kern w:val="0"/>
          <w:sz w:val="24"/>
          <w:szCs w:val="24"/>
        </w:rPr>
      </w:pPr>
      <w:r>
        <w:rPr>
          <w:rFonts w:hint="eastAsia" w:ascii="宋体" w:hAnsi="宋体"/>
          <w:snapToGrid w:val="0"/>
          <w:kern w:val="0"/>
          <w:sz w:val="24"/>
          <w:szCs w:val="24"/>
        </w:rPr>
        <w:t>11</w:t>
      </w:r>
      <w:r>
        <w:rPr>
          <w:rFonts w:ascii="宋体" w:hAnsi="宋体"/>
          <w:snapToGrid w:val="0"/>
          <w:kern w:val="0"/>
          <w:sz w:val="24"/>
          <w:szCs w:val="24"/>
        </w:rPr>
        <w:t xml:space="preserve">.1  </w:t>
      </w:r>
      <w:r>
        <w:rPr>
          <w:rFonts w:hint="eastAsia" w:ascii="宋体" w:hAnsi="宋体"/>
          <w:snapToGrid w:val="0"/>
          <w:kern w:val="0"/>
          <w:sz w:val="24"/>
          <w:szCs w:val="24"/>
        </w:rPr>
        <w:t>工厂检验是质量控制的一个重要组成部分。供方须严格进行厂内各生产环节的检验和试验。供方提供的合同设备须签发质量证明、检验记录和测试报告，并且作为交货时质量证明文件的组成部分。</w:t>
      </w:r>
    </w:p>
    <w:p>
      <w:pPr>
        <w:tabs>
          <w:tab w:val="left" w:pos="600"/>
        </w:tabs>
        <w:adjustRightInd w:val="0"/>
        <w:snapToGrid w:val="0"/>
        <w:spacing w:line="360" w:lineRule="auto"/>
        <w:rPr>
          <w:rFonts w:ascii="宋体" w:hAnsi="宋体"/>
          <w:snapToGrid w:val="0"/>
          <w:kern w:val="0"/>
          <w:sz w:val="24"/>
          <w:szCs w:val="24"/>
        </w:rPr>
      </w:pPr>
      <w:r>
        <w:rPr>
          <w:rFonts w:hint="eastAsia" w:ascii="宋体" w:hAnsi="宋体"/>
          <w:snapToGrid w:val="0"/>
          <w:kern w:val="0"/>
          <w:sz w:val="24"/>
          <w:szCs w:val="24"/>
        </w:rPr>
        <w:t>11</w:t>
      </w:r>
      <w:r>
        <w:rPr>
          <w:rFonts w:ascii="宋体" w:hAnsi="宋体"/>
          <w:snapToGrid w:val="0"/>
          <w:kern w:val="0"/>
          <w:sz w:val="24"/>
          <w:szCs w:val="24"/>
        </w:rPr>
        <w:t xml:space="preserve">.2  </w:t>
      </w:r>
      <w:r>
        <w:rPr>
          <w:rFonts w:hint="eastAsia" w:ascii="宋体" w:hAnsi="宋体"/>
          <w:snapToGrid w:val="0"/>
          <w:kern w:val="0"/>
          <w:sz w:val="24"/>
          <w:szCs w:val="24"/>
        </w:rPr>
        <w:t>检验的范围包括原材料和元器件的进厂，部件的加工、组装、试验至出厂试验。</w:t>
      </w:r>
    </w:p>
    <w:p>
      <w:pPr>
        <w:tabs>
          <w:tab w:val="left" w:pos="600"/>
        </w:tabs>
        <w:adjustRightInd w:val="0"/>
        <w:snapToGrid w:val="0"/>
        <w:spacing w:line="360" w:lineRule="auto"/>
        <w:rPr>
          <w:rFonts w:ascii="宋体" w:hAnsi="宋体"/>
          <w:snapToGrid w:val="0"/>
          <w:kern w:val="0"/>
          <w:sz w:val="24"/>
          <w:szCs w:val="24"/>
        </w:rPr>
      </w:pPr>
      <w:r>
        <w:rPr>
          <w:rFonts w:hint="eastAsia" w:ascii="宋体" w:hAnsi="宋体"/>
          <w:snapToGrid w:val="0"/>
          <w:kern w:val="0"/>
          <w:sz w:val="24"/>
          <w:szCs w:val="24"/>
        </w:rPr>
        <w:t>11</w:t>
      </w:r>
      <w:r>
        <w:rPr>
          <w:rFonts w:ascii="宋体" w:hAnsi="宋体"/>
          <w:snapToGrid w:val="0"/>
          <w:kern w:val="0"/>
          <w:sz w:val="24"/>
          <w:szCs w:val="24"/>
        </w:rPr>
        <w:t xml:space="preserve">.3  </w:t>
      </w:r>
      <w:r>
        <w:rPr>
          <w:rFonts w:hint="eastAsia" w:ascii="宋体" w:hAnsi="宋体"/>
          <w:snapToGrid w:val="0"/>
          <w:kern w:val="0"/>
          <w:sz w:val="24"/>
          <w:szCs w:val="24"/>
        </w:rPr>
        <w:t>供方检验的结果要满足电气设备有关出厂试验标准的要求，如有不符之处或达不到标准要求，供方要采取措施处理直至满足要求。</w:t>
      </w:r>
    </w:p>
    <w:p>
      <w:pPr>
        <w:spacing w:line="360" w:lineRule="auto"/>
        <w:rPr>
          <w:rFonts w:hint="eastAsia" w:ascii="宋体" w:hAnsi="宋体" w:cs="宋体"/>
          <w:b/>
          <w:sz w:val="24"/>
          <w:szCs w:val="24"/>
        </w:rPr>
      </w:pPr>
      <w:bookmarkStart w:id="208" w:name="_Toc16062"/>
      <w:bookmarkStart w:id="209" w:name="_Toc30155"/>
      <w:bookmarkStart w:id="210" w:name="_Toc21693"/>
      <w:bookmarkStart w:id="211" w:name="_Toc25361"/>
      <w:bookmarkStart w:id="212" w:name="_Toc26378"/>
      <w:bookmarkStart w:id="213" w:name="_Toc15064"/>
      <w:bookmarkStart w:id="214" w:name="_Toc21628"/>
      <w:bookmarkStart w:id="215" w:name="_Toc21042"/>
      <w:bookmarkStart w:id="216" w:name="_Toc31164"/>
      <w:bookmarkStart w:id="217" w:name="_Toc2102"/>
      <w:bookmarkStart w:id="218" w:name="_Toc3350"/>
      <w:bookmarkStart w:id="219" w:name="_Toc1053"/>
      <w:bookmarkStart w:id="220" w:name="_Toc21049"/>
      <w:bookmarkStart w:id="221" w:name="_Toc31147"/>
      <w:bookmarkStart w:id="222" w:name="_Toc10155"/>
      <w:bookmarkStart w:id="223" w:name="_Toc26094"/>
      <w:bookmarkStart w:id="224" w:name="_Toc31025"/>
      <w:bookmarkStart w:id="225" w:name="_Toc28587"/>
      <w:bookmarkStart w:id="226" w:name="_Toc7110"/>
      <w:bookmarkStart w:id="227" w:name="_Toc6076"/>
      <w:bookmarkStart w:id="228" w:name="_Toc231"/>
      <w:bookmarkStart w:id="229" w:name="_Toc4543"/>
      <w:bookmarkStart w:id="230" w:name="_Toc3348"/>
      <w:bookmarkStart w:id="231" w:name="_Toc26624"/>
      <w:bookmarkStart w:id="232" w:name="_Toc14241"/>
      <w:bookmarkStart w:id="233" w:name="_Toc1097"/>
      <w:bookmarkStart w:id="234" w:name="_Toc31288"/>
      <w:bookmarkStart w:id="235" w:name="_Toc11139"/>
      <w:bookmarkStart w:id="236" w:name="_Toc1923"/>
      <w:bookmarkStart w:id="237" w:name="_Toc23736"/>
      <w:bookmarkStart w:id="238" w:name="_Toc29001"/>
      <w:bookmarkStart w:id="239" w:name="_Toc18945"/>
      <w:bookmarkStart w:id="240" w:name="_Toc4936"/>
    </w:p>
    <w:p>
      <w:pPr>
        <w:spacing w:line="360" w:lineRule="auto"/>
        <w:rPr>
          <w:rFonts w:ascii="宋体" w:hAnsi="宋体" w:cs="宋体"/>
          <w:b/>
          <w:sz w:val="24"/>
          <w:szCs w:val="24"/>
        </w:rPr>
      </w:pPr>
      <w:r>
        <w:rPr>
          <w:rFonts w:hint="eastAsia" w:ascii="宋体" w:hAnsi="宋体" w:cs="宋体"/>
          <w:b/>
          <w:sz w:val="24"/>
          <w:szCs w:val="24"/>
        </w:rPr>
        <w:t>12.包装储运规定</w:t>
      </w:r>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p>
    <w:p>
      <w:pPr>
        <w:tabs>
          <w:tab w:val="left" w:pos="525"/>
        </w:tabs>
        <w:spacing w:line="360" w:lineRule="auto"/>
        <w:ind w:firstLine="480" w:firstLineChars="200"/>
        <w:rPr>
          <w:rFonts w:ascii="宋体" w:hAnsi="宋体" w:cs="宋体"/>
          <w:sz w:val="24"/>
          <w:szCs w:val="24"/>
        </w:rPr>
      </w:pPr>
      <w:r>
        <w:rPr>
          <w:rFonts w:hint="eastAsia" w:ascii="宋体" w:hAnsi="宋体" w:cs="宋体"/>
          <w:sz w:val="24"/>
          <w:szCs w:val="24"/>
        </w:rPr>
        <w:t>12.1 设备制造完成并通过试验后及时包装，否则应得到切实的保护和符合铁路、公路或海运部门的有关规定。</w:t>
      </w:r>
    </w:p>
    <w:p>
      <w:pPr>
        <w:tabs>
          <w:tab w:val="left" w:pos="525"/>
        </w:tabs>
        <w:spacing w:line="360" w:lineRule="auto"/>
        <w:ind w:firstLine="480" w:firstLineChars="200"/>
        <w:rPr>
          <w:rFonts w:ascii="宋体" w:hAnsi="宋体" w:cs="宋体"/>
          <w:sz w:val="24"/>
          <w:szCs w:val="24"/>
        </w:rPr>
      </w:pPr>
      <w:r>
        <w:rPr>
          <w:rFonts w:hint="eastAsia" w:ascii="宋体" w:hAnsi="宋体" w:cs="宋体"/>
          <w:sz w:val="24"/>
          <w:szCs w:val="24"/>
        </w:rPr>
        <w:t>12.2 所有部件经妥善包装或装箱，在运输过程中采取防护措施，以避免散失、损坏或被盗。</w:t>
      </w:r>
    </w:p>
    <w:p>
      <w:pPr>
        <w:tabs>
          <w:tab w:val="left" w:pos="525"/>
        </w:tabs>
        <w:spacing w:line="360" w:lineRule="auto"/>
        <w:ind w:firstLine="480" w:firstLineChars="200"/>
        <w:rPr>
          <w:rFonts w:ascii="宋体" w:hAnsi="宋体" w:cs="宋体"/>
          <w:sz w:val="24"/>
          <w:szCs w:val="24"/>
        </w:rPr>
      </w:pPr>
      <w:r>
        <w:rPr>
          <w:rFonts w:hint="eastAsia" w:ascii="宋体" w:hAnsi="宋体" w:cs="宋体"/>
          <w:sz w:val="24"/>
          <w:szCs w:val="24"/>
        </w:rPr>
        <w:t>12.3在包装箱外有显著的标记，标记发货人代号、合同号、目的站（港）、项目号、货物名称、箱号/件号、毛重/净重（kg）、尺寸（长×宽×高，以cm表示）。</w:t>
      </w:r>
    </w:p>
    <w:p>
      <w:pPr>
        <w:tabs>
          <w:tab w:val="left" w:pos="525"/>
        </w:tabs>
        <w:spacing w:line="360" w:lineRule="auto"/>
        <w:ind w:firstLine="480" w:firstLineChars="200"/>
        <w:rPr>
          <w:rFonts w:ascii="宋体" w:hAnsi="宋体" w:cs="宋体"/>
          <w:sz w:val="24"/>
          <w:szCs w:val="24"/>
        </w:rPr>
      </w:pPr>
      <w:r>
        <w:rPr>
          <w:rFonts w:hint="eastAsia" w:ascii="宋体" w:hAnsi="宋体" w:cs="宋体"/>
          <w:sz w:val="24"/>
          <w:szCs w:val="24"/>
        </w:rPr>
        <w:t>12.4各种包装确保各零部件在运输过程中不致遭到损坏、丢失、变形、受潮生锈和腐蚀。</w:t>
      </w:r>
    </w:p>
    <w:p>
      <w:pPr>
        <w:tabs>
          <w:tab w:val="left" w:pos="525"/>
        </w:tabs>
        <w:spacing w:line="360" w:lineRule="auto"/>
        <w:ind w:firstLine="480" w:firstLineChars="200"/>
        <w:rPr>
          <w:rFonts w:ascii="宋体" w:hAnsi="宋体" w:cs="宋体"/>
          <w:sz w:val="24"/>
          <w:szCs w:val="24"/>
        </w:rPr>
      </w:pPr>
      <w:r>
        <w:rPr>
          <w:rFonts w:hint="eastAsia" w:ascii="宋体" w:hAnsi="宋体" w:cs="宋体"/>
          <w:sz w:val="24"/>
          <w:szCs w:val="24"/>
        </w:rPr>
        <w:t>12.5包装箱上有明显的包装储运图示标志。</w:t>
      </w:r>
    </w:p>
    <w:p>
      <w:pPr>
        <w:tabs>
          <w:tab w:val="left" w:pos="525"/>
        </w:tabs>
        <w:spacing w:line="360" w:lineRule="auto"/>
        <w:ind w:firstLine="480" w:firstLineChars="200"/>
        <w:rPr>
          <w:rFonts w:ascii="宋体" w:hAnsi="宋体" w:cs="宋体"/>
          <w:sz w:val="24"/>
          <w:szCs w:val="24"/>
        </w:rPr>
      </w:pPr>
      <w:r>
        <w:rPr>
          <w:rFonts w:hint="eastAsia" w:ascii="宋体" w:hAnsi="宋体" w:cs="宋体"/>
          <w:sz w:val="24"/>
          <w:szCs w:val="24"/>
        </w:rPr>
        <w:t>12.6整体产品或分别运输的部件都要适合运输和装载的要求。</w:t>
      </w:r>
    </w:p>
    <w:p>
      <w:pPr>
        <w:tabs>
          <w:tab w:val="left" w:pos="525"/>
        </w:tabs>
        <w:spacing w:line="360" w:lineRule="auto"/>
        <w:ind w:firstLine="480" w:firstLineChars="200"/>
        <w:rPr>
          <w:rFonts w:ascii="宋体" w:hAnsi="宋体" w:cs="宋体"/>
          <w:sz w:val="24"/>
          <w:szCs w:val="24"/>
        </w:rPr>
      </w:pPr>
      <w:r>
        <w:rPr>
          <w:rFonts w:hint="eastAsia" w:ascii="宋体" w:hAnsi="宋体" w:cs="宋体"/>
          <w:sz w:val="24"/>
          <w:szCs w:val="24"/>
        </w:rPr>
        <w:t>12.7随产品提供的技术资料完整无缺。</w:t>
      </w:r>
    </w:p>
    <w:p>
      <w:pPr>
        <w:tabs>
          <w:tab w:val="left" w:pos="525"/>
        </w:tabs>
        <w:spacing w:line="360" w:lineRule="auto"/>
        <w:ind w:firstLine="480" w:firstLineChars="200"/>
        <w:rPr>
          <w:rFonts w:ascii="宋体" w:hAnsi="宋体" w:cs="宋体"/>
          <w:sz w:val="24"/>
          <w:szCs w:val="24"/>
        </w:rPr>
      </w:pPr>
      <w:r>
        <w:rPr>
          <w:rFonts w:hint="eastAsia" w:ascii="宋体" w:hAnsi="宋体" w:cs="宋体"/>
          <w:sz w:val="24"/>
          <w:szCs w:val="24"/>
        </w:rPr>
        <w:t>12.8 其它详见商务条款《包装储运规定》。</w:t>
      </w:r>
    </w:p>
    <w:p>
      <w:pPr>
        <w:tabs>
          <w:tab w:val="left" w:pos="525"/>
        </w:tabs>
        <w:spacing w:line="360" w:lineRule="auto"/>
        <w:ind w:firstLine="480" w:firstLineChars="200"/>
        <w:rPr>
          <w:rFonts w:hint="eastAsia" w:ascii="宋体" w:hAnsi="宋体"/>
          <w:snapToGrid w:val="0"/>
          <w:kern w:val="0"/>
          <w:sz w:val="24"/>
          <w:szCs w:val="24"/>
        </w:rPr>
      </w:pPr>
      <w:r>
        <w:rPr>
          <w:rFonts w:hint="eastAsia" w:ascii="宋体" w:hAnsi="宋体" w:cs="宋体"/>
          <w:sz w:val="24"/>
          <w:szCs w:val="24"/>
        </w:rPr>
        <w:t xml:space="preserve">12.9 </w:t>
      </w:r>
      <w:r>
        <w:rPr>
          <w:rFonts w:hint="eastAsia" w:ascii="宋体" w:hAnsi="宋体"/>
          <w:snapToGrid w:val="0"/>
          <w:kern w:val="0"/>
          <w:sz w:val="24"/>
          <w:szCs w:val="24"/>
        </w:rPr>
        <w:t>供方应把超级</w:t>
      </w:r>
      <w:r>
        <w:rPr>
          <w:rFonts w:hint="eastAsia" w:ascii="宋体" w:hAnsi="宋体" w:cs="Arial"/>
          <w:sz w:val="24"/>
          <w:szCs w:val="24"/>
        </w:rPr>
        <w:t>、</w:t>
      </w:r>
      <w:r>
        <w:rPr>
          <w:rFonts w:hint="eastAsia" w:ascii="宋体" w:hAnsi="宋体"/>
          <w:snapToGrid w:val="0"/>
          <w:kern w:val="0"/>
          <w:sz w:val="24"/>
          <w:szCs w:val="24"/>
        </w:rPr>
        <w:t>超限的情况详细予以说明。</w:t>
      </w:r>
    </w:p>
    <w:p>
      <w:pPr>
        <w:tabs>
          <w:tab w:val="left" w:pos="525"/>
        </w:tabs>
        <w:spacing w:line="360" w:lineRule="auto"/>
        <w:rPr>
          <w:rFonts w:ascii="宋体" w:hAnsi="宋体"/>
          <w:snapToGrid w:val="0"/>
          <w:kern w:val="0"/>
          <w:sz w:val="24"/>
          <w:szCs w:val="24"/>
        </w:rPr>
      </w:pPr>
      <w:r>
        <w:rPr>
          <w:rFonts w:ascii="宋体" w:hAnsi="宋体"/>
          <w:snapToGrid w:val="0"/>
          <w:kern w:val="0"/>
          <w:sz w:val="24"/>
          <w:szCs w:val="24"/>
        </w:rPr>
        <w:br w:type="page"/>
      </w:r>
      <w:r>
        <w:rPr>
          <w:rFonts w:hint="eastAsia"/>
          <w:b/>
          <w:sz w:val="28"/>
          <w:szCs w:val="28"/>
          <w:lang w:val="zh-CN"/>
        </w:rPr>
        <w:t>签字页（</w:t>
      </w:r>
      <w:r>
        <w:rPr>
          <w:rFonts w:hint="eastAsia"/>
          <w:b/>
          <w:sz w:val="28"/>
          <w:szCs w:val="28"/>
        </w:rPr>
        <w:t>本页无正文</w:t>
      </w:r>
      <w:r>
        <w:rPr>
          <w:rFonts w:hint="eastAsia"/>
          <w:b/>
          <w:sz w:val="28"/>
          <w:szCs w:val="28"/>
          <w:lang w:val="zh-CN"/>
        </w:rPr>
        <w:t>）</w:t>
      </w:r>
    </w:p>
    <w:p>
      <w:pPr>
        <w:rPr>
          <w:sz w:val="28"/>
          <w:szCs w:val="28"/>
          <w:lang w:val="zh-CN"/>
        </w:rPr>
      </w:pPr>
    </w:p>
    <w:p>
      <w:pPr>
        <w:rPr>
          <w:sz w:val="28"/>
          <w:szCs w:val="28"/>
          <w:lang w:val="zh-CN"/>
        </w:rPr>
      </w:pPr>
      <w:r>
        <w:rPr>
          <w:rFonts w:hint="eastAsia"/>
          <w:sz w:val="28"/>
          <w:szCs w:val="28"/>
          <w:lang w:val="zh-CN"/>
        </w:rPr>
        <w:t>需  方：</w:t>
      </w:r>
    </w:p>
    <w:p>
      <w:pPr>
        <w:rPr>
          <w:sz w:val="28"/>
          <w:szCs w:val="28"/>
          <w:lang w:val="zh-CN"/>
        </w:rPr>
      </w:pPr>
      <w:r>
        <w:rPr>
          <w:rFonts w:hint="eastAsia"/>
          <w:sz w:val="28"/>
          <w:szCs w:val="28"/>
          <w:lang w:val="zh-CN"/>
        </w:rPr>
        <w:t xml:space="preserve">签 </w:t>
      </w:r>
      <w:r>
        <w:rPr>
          <w:sz w:val="28"/>
          <w:szCs w:val="28"/>
          <w:lang w:val="zh-CN"/>
        </w:rPr>
        <w:t xml:space="preserve"> </w:t>
      </w:r>
      <w:r>
        <w:rPr>
          <w:rFonts w:hint="eastAsia"/>
          <w:sz w:val="28"/>
          <w:szCs w:val="28"/>
          <w:lang w:val="zh-CN"/>
        </w:rPr>
        <w:t>字：</w:t>
      </w:r>
    </w:p>
    <w:p>
      <w:pPr>
        <w:rPr>
          <w:sz w:val="28"/>
          <w:szCs w:val="28"/>
          <w:lang w:val="zh-CN"/>
        </w:rPr>
      </w:pPr>
      <w:r>
        <w:rPr>
          <w:rFonts w:hint="eastAsia"/>
          <w:sz w:val="28"/>
          <w:szCs w:val="28"/>
          <w:lang w:val="zh-CN"/>
        </w:rPr>
        <w:t>电  话：</w:t>
      </w:r>
    </w:p>
    <w:p>
      <w:pPr>
        <w:rPr>
          <w:sz w:val="28"/>
          <w:szCs w:val="28"/>
          <w:lang w:val="zh-CN"/>
        </w:rPr>
      </w:pPr>
      <w:r>
        <w:rPr>
          <w:rFonts w:hint="eastAsia"/>
          <w:sz w:val="28"/>
          <w:szCs w:val="28"/>
          <w:lang w:val="zh-CN"/>
        </w:rPr>
        <w:t>日  期：</w:t>
      </w:r>
    </w:p>
    <w:p>
      <w:pPr>
        <w:rPr>
          <w:sz w:val="28"/>
          <w:szCs w:val="28"/>
          <w:lang w:val="zh-CN"/>
        </w:rPr>
      </w:pPr>
    </w:p>
    <w:p>
      <w:pPr>
        <w:rPr>
          <w:sz w:val="28"/>
          <w:szCs w:val="28"/>
          <w:lang w:val="zh-CN"/>
        </w:rPr>
      </w:pPr>
    </w:p>
    <w:p>
      <w:pPr>
        <w:rPr>
          <w:sz w:val="28"/>
          <w:szCs w:val="28"/>
          <w:lang w:val="zh-CN"/>
        </w:rPr>
      </w:pPr>
      <w:r>
        <w:rPr>
          <w:rFonts w:hint="eastAsia"/>
          <w:sz w:val="28"/>
          <w:szCs w:val="28"/>
          <w:lang w:val="zh-CN"/>
        </w:rPr>
        <w:t>设计方：</w:t>
      </w:r>
    </w:p>
    <w:p>
      <w:pPr>
        <w:rPr>
          <w:sz w:val="28"/>
          <w:szCs w:val="28"/>
          <w:lang w:val="zh-CN"/>
        </w:rPr>
      </w:pPr>
      <w:r>
        <w:rPr>
          <w:rFonts w:hint="eastAsia"/>
          <w:sz w:val="28"/>
          <w:szCs w:val="28"/>
          <w:lang w:val="zh-CN"/>
        </w:rPr>
        <w:t xml:space="preserve">签 </w:t>
      </w:r>
      <w:r>
        <w:rPr>
          <w:sz w:val="28"/>
          <w:szCs w:val="28"/>
          <w:lang w:val="zh-CN"/>
        </w:rPr>
        <w:t xml:space="preserve"> </w:t>
      </w:r>
      <w:r>
        <w:rPr>
          <w:rFonts w:hint="eastAsia"/>
          <w:sz w:val="28"/>
          <w:szCs w:val="28"/>
          <w:lang w:val="zh-CN"/>
        </w:rPr>
        <w:t>字：</w:t>
      </w:r>
    </w:p>
    <w:p>
      <w:pPr>
        <w:rPr>
          <w:sz w:val="28"/>
          <w:szCs w:val="28"/>
          <w:lang w:val="zh-CN"/>
        </w:rPr>
      </w:pPr>
      <w:r>
        <w:rPr>
          <w:rFonts w:hint="eastAsia"/>
          <w:sz w:val="28"/>
          <w:szCs w:val="28"/>
          <w:lang w:val="zh-CN"/>
        </w:rPr>
        <w:t>电  话：</w:t>
      </w:r>
    </w:p>
    <w:p>
      <w:pPr>
        <w:rPr>
          <w:sz w:val="28"/>
          <w:szCs w:val="28"/>
          <w:lang w:val="zh-CN"/>
        </w:rPr>
      </w:pPr>
      <w:r>
        <w:rPr>
          <w:rFonts w:hint="eastAsia"/>
          <w:sz w:val="28"/>
          <w:szCs w:val="28"/>
          <w:lang w:val="zh-CN"/>
        </w:rPr>
        <w:t>日  期：</w:t>
      </w:r>
    </w:p>
    <w:p>
      <w:pPr>
        <w:rPr>
          <w:sz w:val="28"/>
          <w:szCs w:val="28"/>
          <w:lang w:val="zh-CN"/>
        </w:rPr>
      </w:pPr>
    </w:p>
    <w:p>
      <w:pPr>
        <w:rPr>
          <w:sz w:val="28"/>
          <w:szCs w:val="28"/>
          <w:lang w:val="zh-CN"/>
        </w:rPr>
      </w:pPr>
    </w:p>
    <w:p>
      <w:pPr>
        <w:rPr>
          <w:sz w:val="28"/>
          <w:szCs w:val="28"/>
          <w:lang w:val="zh-CN"/>
        </w:rPr>
      </w:pPr>
      <w:r>
        <w:rPr>
          <w:rFonts w:hint="eastAsia"/>
          <w:sz w:val="28"/>
          <w:szCs w:val="28"/>
          <w:lang w:val="zh-CN"/>
        </w:rPr>
        <w:t>供  方：</w:t>
      </w:r>
    </w:p>
    <w:p>
      <w:pPr>
        <w:rPr>
          <w:sz w:val="28"/>
          <w:szCs w:val="28"/>
          <w:lang w:val="zh-CN"/>
        </w:rPr>
      </w:pPr>
      <w:r>
        <w:rPr>
          <w:rFonts w:hint="eastAsia"/>
          <w:sz w:val="28"/>
          <w:szCs w:val="28"/>
          <w:lang w:val="zh-CN"/>
        </w:rPr>
        <w:t xml:space="preserve">签 </w:t>
      </w:r>
      <w:r>
        <w:rPr>
          <w:sz w:val="28"/>
          <w:szCs w:val="28"/>
          <w:lang w:val="zh-CN"/>
        </w:rPr>
        <w:t xml:space="preserve"> </w:t>
      </w:r>
      <w:r>
        <w:rPr>
          <w:rFonts w:hint="eastAsia"/>
          <w:sz w:val="28"/>
          <w:szCs w:val="28"/>
          <w:lang w:val="zh-CN"/>
        </w:rPr>
        <w:t>字：</w:t>
      </w:r>
    </w:p>
    <w:p>
      <w:pPr>
        <w:rPr>
          <w:sz w:val="28"/>
          <w:szCs w:val="28"/>
          <w:lang w:val="zh-CN"/>
        </w:rPr>
      </w:pPr>
      <w:r>
        <w:rPr>
          <w:rFonts w:hint="eastAsia"/>
          <w:sz w:val="28"/>
          <w:szCs w:val="28"/>
          <w:lang w:val="zh-CN"/>
        </w:rPr>
        <w:t>电  话：</w:t>
      </w:r>
    </w:p>
    <w:p>
      <w:pPr>
        <w:rPr>
          <w:rFonts w:hint="eastAsia"/>
          <w:sz w:val="28"/>
          <w:szCs w:val="28"/>
          <w:lang w:val="zh-CN"/>
        </w:rPr>
      </w:pPr>
      <w:r>
        <w:rPr>
          <w:rFonts w:hint="eastAsia"/>
          <w:sz w:val="28"/>
          <w:szCs w:val="28"/>
          <w:lang w:val="zh-CN"/>
        </w:rPr>
        <w:t>日  期：</w:t>
      </w:r>
    </w:p>
    <w:p>
      <w:pPr>
        <w:rPr>
          <w:sz w:val="28"/>
          <w:szCs w:val="28"/>
          <w:lang w:val="zh-CN"/>
        </w:rPr>
      </w:pPr>
    </w:p>
    <w:p>
      <w:bookmarkStart w:id="241" w:name="_GoBack"/>
      <w:bookmarkEnd w:id="241"/>
    </w:p>
    <w:sectPr>
      <w:headerReference r:id="rId3" w:type="default"/>
      <w:footerReference r:id="rId4" w:type="default"/>
      <w:pgSz w:w="11906" w:h="16838"/>
      <w:pgMar w:top="1440" w:right="1134" w:bottom="1440" w:left="1134" w:header="851" w:footer="992" w:gutter="0"/>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0"/>
      </w:pBdr>
      <w:jc w:val="distribute"/>
      <w:rPr>
        <w:rFonts w:ascii="仿宋" w:hAnsi="仿宋" w:eastAsia="仿宋" w:cs="仿宋"/>
        <w:bCs/>
        <w:i/>
        <w:iCs/>
        <w:color w:val="000000"/>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016A03"/>
    <w:multiLevelType w:val="multilevel"/>
    <w:tmpl w:val="2F016A03"/>
    <w:lvl w:ilvl="0" w:tentative="0">
      <w:start w:val="5"/>
      <w:numFmt w:val="decimal"/>
      <w:lvlText w:val="%1"/>
      <w:lvlJc w:val="left"/>
      <w:pPr>
        <w:ind w:left="405" w:hanging="405"/>
      </w:pPr>
      <w:rPr>
        <w:rFonts w:hint="default"/>
      </w:rPr>
    </w:lvl>
    <w:lvl w:ilvl="1" w:tentative="0">
      <w:start w:val="1"/>
      <w:numFmt w:val="decimal"/>
      <w:lvlText w:val="%1.%2"/>
      <w:lvlJc w:val="left"/>
      <w:pPr>
        <w:ind w:left="1320" w:hanging="720"/>
      </w:pPr>
      <w:rPr>
        <w:rFonts w:hint="default"/>
      </w:rPr>
    </w:lvl>
    <w:lvl w:ilvl="2" w:tentative="0">
      <w:start w:val="1"/>
      <w:numFmt w:val="decimal"/>
      <w:lvlText w:val="%1.%2.%3"/>
      <w:lvlJc w:val="left"/>
      <w:pPr>
        <w:ind w:left="1920" w:hanging="720"/>
      </w:pPr>
      <w:rPr>
        <w:rFonts w:hint="default"/>
      </w:rPr>
    </w:lvl>
    <w:lvl w:ilvl="3" w:tentative="0">
      <w:start w:val="1"/>
      <w:numFmt w:val="decimal"/>
      <w:lvlText w:val="%1.%2.%3.%4"/>
      <w:lvlJc w:val="left"/>
      <w:pPr>
        <w:ind w:left="2880" w:hanging="1080"/>
      </w:pPr>
      <w:rPr>
        <w:rFonts w:hint="default"/>
      </w:rPr>
    </w:lvl>
    <w:lvl w:ilvl="4" w:tentative="0">
      <w:start w:val="1"/>
      <w:numFmt w:val="decimal"/>
      <w:lvlText w:val="%1.%2.%3.%4.%5"/>
      <w:lvlJc w:val="left"/>
      <w:pPr>
        <w:ind w:left="3840" w:hanging="1440"/>
      </w:pPr>
      <w:rPr>
        <w:rFonts w:hint="default"/>
      </w:rPr>
    </w:lvl>
    <w:lvl w:ilvl="5" w:tentative="0">
      <w:start w:val="1"/>
      <w:numFmt w:val="decimal"/>
      <w:lvlText w:val="%1.%2.%3.%4.%5.%6"/>
      <w:lvlJc w:val="left"/>
      <w:pPr>
        <w:ind w:left="4440" w:hanging="1440"/>
      </w:pPr>
      <w:rPr>
        <w:rFonts w:hint="default"/>
      </w:rPr>
    </w:lvl>
    <w:lvl w:ilvl="6" w:tentative="0">
      <w:start w:val="1"/>
      <w:numFmt w:val="decimal"/>
      <w:lvlText w:val="%1.%2.%3.%4.%5.%6.%7"/>
      <w:lvlJc w:val="left"/>
      <w:pPr>
        <w:ind w:left="5400" w:hanging="1800"/>
      </w:pPr>
      <w:rPr>
        <w:rFonts w:hint="default"/>
      </w:rPr>
    </w:lvl>
    <w:lvl w:ilvl="7" w:tentative="0">
      <w:start w:val="1"/>
      <w:numFmt w:val="decimal"/>
      <w:lvlText w:val="%1.%2.%3.%4.%5.%6.%7.%8"/>
      <w:lvlJc w:val="left"/>
      <w:pPr>
        <w:ind w:left="6360" w:hanging="2160"/>
      </w:pPr>
      <w:rPr>
        <w:rFonts w:hint="default"/>
      </w:rPr>
    </w:lvl>
    <w:lvl w:ilvl="8" w:tentative="0">
      <w:start w:val="1"/>
      <w:numFmt w:val="decimal"/>
      <w:lvlText w:val="%1.%2.%3.%4.%5.%6.%7.%8.%9"/>
      <w:lvlJc w:val="left"/>
      <w:pPr>
        <w:ind w:left="696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c3MzZjZmQzYWE0ZmVlMTA2MzViNjEyNTY5ZjQzMDMifQ=="/>
  </w:docVars>
  <w:rsids>
    <w:rsidRoot w:val="00000000"/>
    <w:rsid w:val="5DD54581"/>
    <w:rsid w:val="7BC15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spacing w:line="360" w:lineRule="auto"/>
      <w:ind w:firstLine="420"/>
    </w:pPr>
    <w:rPr>
      <w:rFonts w:ascii="Times New Roman" w:hAnsi="Times New Roman" w:eastAsia="宋体" w:cs="Times New Roman"/>
      <w:sz w:val="24"/>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customStyle="1" w:styleId="6">
    <w:name w:val="列出段落1"/>
    <w:basedOn w:val="1"/>
    <w:qFormat/>
    <w:uiPriority w:val="34"/>
    <w:pPr>
      <w:spacing w:line="360" w:lineRule="auto"/>
      <w:ind w:firstLine="420" w:firstLineChars="200"/>
    </w:pPr>
    <w:rPr>
      <w:rFonts w:ascii="Times New Roman" w:hAnsi="Times New Roman" w:eastAsia="宋体" w:cs="Times New Roman"/>
      <w:sz w:val="24"/>
    </w:rPr>
  </w:style>
  <w:style w:type="paragraph" w:customStyle="1" w:styleId="7">
    <w:name w:val="CM83"/>
    <w:basedOn w:val="1"/>
    <w:next w:val="1"/>
    <w:qFormat/>
    <w:uiPriority w:val="0"/>
    <w:pPr>
      <w:autoSpaceDE w:val="0"/>
      <w:autoSpaceDN w:val="0"/>
      <w:adjustRightInd w:val="0"/>
      <w:spacing w:after="70" w:line="360" w:lineRule="auto"/>
      <w:jc w:val="left"/>
    </w:pPr>
    <w:rPr>
      <w:rFonts w:ascii="宋体" w:hAnsi="Times New Roman" w:eastAsia="宋体" w:cs="Times New Roman"/>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2023-11-13T01:26:00Z</dcterms:created>
  <dc:creator>Lenovo</dc:creator>
  <cp:lastModifiedBy>就这样吧</cp:lastModifiedBy>
  <dcterms:modified xsi:type="dcterms:W3CDTF">2023-11-22T08:08:14Z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D2EBD8DFCB074D48B605DF7D34476B65_12</vt:lpwstr>
  </property>
</Properties>
</file>