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Alibaba PuHuiTi" w:hAnsi="Alibaba PuHuiTi" w:eastAsia="Alibaba PuHuiTi" w:cs="Alibaba PuHuiTi"/>
          <w:i w:val="0"/>
          <w:iCs w:val="0"/>
          <w:caps w:val="0"/>
          <w:color w:val="212529"/>
          <w:spacing w:val="0"/>
          <w:sz w:val="24"/>
          <w:szCs w:val="24"/>
          <w:shd w:val="clear" w:fill="FFFFFF"/>
        </w:rPr>
      </w:pPr>
    </w:p>
    <w:p>
      <w:pPr>
        <w:jc w:val="center"/>
        <w:rPr>
          <w:rFonts w:hint="eastAsia" w:ascii="仿宋" w:hAnsi="仿宋" w:eastAsia="仿宋" w:cs="仿宋"/>
          <w:b/>
          <w:bCs/>
          <w:sz w:val="36"/>
          <w:szCs w:val="36"/>
          <w:lang w:val="en-US" w:eastAsia="zh-CN"/>
        </w:rPr>
      </w:pPr>
      <w:r>
        <w:rPr>
          <w:rFonts w:hint="eastAsia" w:ascii="仿宋" w:hAnsi="仿宋" w:eastAsia="仿宋" w:cs="仿宋"/>
          <w:b/>
          <w:bCs/>
          <w:color w:val="auto"/>
          <w:sz w:val="36"/>
          <w:szCs w:val="36"/>
          <w:highlight w:val="none"/>
          <w:shd w:val="clear" w:color="auto" w:fill="auto"/>
          <w:lang w:val="en-US" w:eastAsia="zh-CN"/>
        </w:rPr>
        <w:t>会昌县消防训练基地（九州大道特勤消防救援站）二期建设项目绿色建筑设计</w:t>
      </w:r>
      <w:r>
        <w:rPr>
          <w:rStyle w:val="9"/>
          <w:rFonts w:hint="eastAsia" w:ascii="仿宋" w:hAnsi="仿宋" w:eastAsia="仿宋" w:cs="仿宋"/>
          <w:b/>
          <w:bCs/>
          <w:i w:val="0"/>
          <w:iCs w:val="0"/>
          <w:caps w:val="0"/>
          <w:color w:val="212529"/>
          <w:spacing w:val="0"/>
          <w:sz w:val="36"/>
          <w:szCs w:val="36"/>
          <w:shd w:val="clear" w:fill="FFFFFF"/>
          <w:lang w:val="en-US" w:eastAsia="zh-CN"/>
        </w:rPr>
        <w:t>工作挂网</w:t>
      </w:r>
      <w:r>
        <w:rPr>
          <w:rStyle w:val="9"/>
          <w:rFonts w:hint="eastAsia" w:ascii="仿宋" w:hAnsi="仿宋" w:eastAsia="仿宋" w:cs="仿宋"/>
          <w:b/>
          <w:bCs/>
          <w:i w:val="0"/>
          <w:iCs w:val="0"/>
          <w:caps w:val="0"/>
          <w:color w:val="212529"/>
          <w:spacing w:val="0"/>
          <w:sz w:val="36"/>
          <w:szCs w:val="36"/>
          <w:shd w:val="clear" w:fill="FFFFFF"/>
          <w:lang w:eastAsia="zh-CN"/>
        </w:rPr>
        <w:t>询价</w:t>
      </w:r>
      <w:r>
        <w:rPr>
          <w:rStyle w:val="9"/>
          <w:rFonts w:hint="eastAsia" w:ascii="仿宋" w:hAnsi="仿宋" w:eastAsia="仿宋" w:cs="仿宋"/>
          <w:b/>
          <w:bCs/>
          <w:i w:val="0"/>
          <w:iCs w:val="0"/>
          <w:caps w:val="0"/>
          <w:color w:val="212529"/>
          <w:spacing w:val="0"/>
          <w:sz w:val="36"/>
          <w:szCs w:val="36"/>
          <w:shd w:val="clear" w:fill="FFFFFF"/>
          <w:lang w:val="en-US" w:eastAsia="zh-CN"/>
        </w:rPr>
        <w:t>发包的公告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62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722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225" w:type="dxa"/>
            <w:vAlign w:val="center"/>
          </w:tcPr>
          <w:p>
            <w:pPr>
              <w:spacing w:line="600" w:lineRule="auto"/>
              <w:ind w:firstLine="600" w:firstLineChars="200"/>
              <w:rPr>
                <w:rFonts w:hint="eastAsia" w:ascii="仿宋" w:hAnsi="仿宋" w:eastAsia="仿宋" w:cs="仿宋"/>
                <w:b w:val="0"/>
                <w:bCs w:val="0"/>
                <w:sz w:val="32"/>
                <w:szCs w:val="32"/>
                <w:vertAlign w:val="baseline"/>
                <w:lang w:val="en-US" w:eastAsia="zh-CN"/>
              </w:rPr>
            </w:pPr>
            <w:r>
              <w:rPr>
                <w:rFonts w:hint="eastAsia" w:ascii="仿宋_GB2312" w:hAnsi="仿宋_GB2312" w:eastAsia="仿宋_GB2312" w:cs="仿宋_GB2312"/>
                <w:bCs/>
                <w:color w:val="auto"/>
                <w:sz w:val="30"/>
                <w:szCs w:val="30"/>
                <w:highlight w:val="none"/>
                <w:lang w:eastAsia="zh-CN"/>
              </w:rPr>
              <w:t>会昌县城市发展投资有限责任公司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225" w:type="dxa"/>
            <w:vAlign w:val="center"/>
          </w:tcPr>
          <w:p>
            <w:pPr>
              <w:spacing w:line="480" w:lineRule="auto"/>
              <w:rPr>
                <w:rFonts w:hint="default" w:ascii="仿宋" w:hAnsi="仿宋" w:eastAsia="仿宋_GB2312" w:cs="仿宋"/>
                <w:b w:val="0"/>
                <w:bCs w:val="0"/>
                <w:sz w:val="32"/>
                <w:szCs w:val="32"/>
                <w:vertAlign w:val="baseline"/>
                <w:lang w:val="en-US" w:eastAsia="zh-CN"/>
              </w:rPr>
            </w:pPr>
            <w:r>
              <w:rPr>
                <w:rFonts w:hint="eastAsia" w:ascii="仿宋" w:hAnsi="仿宋" w:eastAsia="仿宋" w:cs="仿宋"/>
                <w:b w:val="0"/>
                <w:bCs w:val="0"/>
                <w:color w:val="auto"/>
                <w:sz w:val="32"/>
                <w:szCs w:val="32"/>
                <w:highlight w:val="none"/>
                <w:shd w:val="clear" w:color="auto" w:fill="auto"/>
                <w:lang w:val="en-US" w:eastAsia="zh-CN"/>
              </w:rPr>
              <w:t>会昌县消防训练基地（九州大道特勤消防救援站）二期建设项目绿色建筑设计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22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225" w:type="dxa"/>
            <w:vAlign w:val="center"/>
          </w:tcPr>
          <w:p>
            <w:pPr>
              <w:spacing w:line="480" w:lineRule="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color w:val="auto"/>
                <w:sz w:val="32"/>
                <w:szCs w:val="32"/>
                <w:highlight w:val="none"/>
                <w:shd w:val="clear" w:color="auto" w:fill="auto"/>
                <w:lang w:val="en-US" w:eastAsia="zh-CN"/>
              </w:rPr>
              <w:t>会昌县消防训练基地（九州大道特勤消防救援站）二期建设项目绿色建筑设计</w:t>
            </w:r>
            <w:r>
              <w:rPr>
                <w:rFonts w:hint="eastAsia" w:ascii="仿宋" w:hAnsi="仿宋" w:eastAsia="仿宋" w:cs="仿宋"/>
                <w:b w:val="0"/>
                <w:bCs w:val="0"/>
                <w:sz w:val="32"/>
                <w:szCs w:val="32"/>
                <w:vertAlign w:val="baseline"/>
                <w:lang w:val="en-US" w:eastAsia="zh-CN"/>
              </w:rPr>
              <w:t>工作</w:t>
            </w:r>
            <w:r>
              <w:rPr>
                <w:rFonts w:hint="eastAsia" w:ascii="仿宋" w:hAnsi="仿宋" w:eastAsia="仿宋_GB2312" w:cs="仿宋"/>
                <w:b w:val="0"/>
                <w:bCs w:val="0"/>
                <w:sz w:val="32"/>
                <w:szCs w:val="32"/>
                <w:vertAlign w:val="baseline"/>
                <w:lang w:val="en-US" w:eastAsia="zh-CN"/>
              </w:rPr>
              <w:t>所有事项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22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sz w:val="32"/>
                <w:szCs w:val="32"/>
                <w:u w:val="none"/>
                <w:lang w:eastAsia="zh-CN"/>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工作要求</w:t>
            </w:r>
          </w:p>
        </w:tc>
        <w:tc>
          <w:tcPr>
            <w:tcW w:w="7225" w:type="dxa"/>
            <w:vAlign w:val="center"/>
          </w:tcPr>
          <w:p>
            <w:pPr>
              <w:numPr>
                <w:ilvl w:val="0"/>
                <w:numId w:val="0"/>
              </w:num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完成项目的绿色建筑基本级的设计、审查、检测、验收评级工作。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22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设计工期10天，审查、检测、验收等工作服务至项目绿色建筑验收评级结束。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22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2023年11月9日至2023年11月14日上午10时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225" w:type="dxa"/>
            <w:vAlign w:val="center"/>
          </w:tcPr>
          <w:p>
            <w:pPr>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完成绿色建筑设计并通过图纸审查后支付合同价的50%，剩余部分待项目验收评级后支付。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22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以江西省绿色建筑协会关于发布《 绿色建筑工程咨询收费标准（试行）》的通知（赣绿建协〔2020〕3号）文件规定打折后的价格4.5万元为本次招标控制价，企业结合实际自主报价。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联系人及投标地点</w:t>
            </w:r>
          </w:p>
        </w:tc>
        <w:tc>
          <w:tcPr>
            <w:tcW w:w="7225" w:type="dxa"/>
            <w:vAlign w:val="center"/>
          </w:tcPr>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招标联系人：陈先生17879999179 投标地点：会昌县商会大厦十楼工程管理部。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225" w:type="dxa"/>
            <w:vAlign w:val="center"/>
          </w:tcPr>
          <w:p>
            <w:pPr>
              <w:jc w:val="both"/>
              <w:rPr>
                <w:rFonts w:hint="eastAsia" w:ascii="仿宋" w:hAnsi="仿宋" w:eastAsia="仿宋" w:cs="仿宋"/>
                <w:b w:val="0"/>
                <w:bCs w:val="0"/>
                <w:color w:val="00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开标时间为：2023年11月14日上午10:00，集团询价小组进行现场拆封各投标人报价文件，审核各投标人资质，按低价原则确定服务机构。</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地点：会昌县商会大厦十楼会议室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1.1、投标价格为固定总价，投标单位报价后我公司即视为报价方在报价前已充分了解了本项目。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bookmarkStart w:id="0" w:name="_Toc46481525"/>
      <w:r>
        <w:rPr>
          <w:rFonts w:hint="eastAsia" w:ascii="仿宋_GB2312" w:hAnsi="仿宋_GB2312" w:eastAsia="仿宋_GB2312" w:cs="仿宋_GB2312"/>
          <w:b w:val="0"/>
          <w:bCs w:val="0"/>
          <w:sz w:val="32"/>
          <w:szCs w:val="32"/>
          <w:lang w:val="en-US" w:eastAsia="zh-CN"/>
        </w:rPr>
        <w:t>3、申请公司的资格要求</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1）具有承接该业务的资质，及独立承担民事责任的能力；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2）具有履行合同所必需的设备和专业技术能力，提供一项或以上业绩证明；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3）参加</w:t>
      </w:r>
      <w:r>
        <w:rPr>
          <w:rFonts w:hint="eastAsia" w:ascii="仿宋" w:hAnsi="仿宋" w:eastAsia="仿宋" w:cs="仿宋"/>
          <w:b w:val="0"/>
          <w:bCs/>
          <w:color w:val="000000"/>
          <w:sz w:val="32"/>
          <w:szCs w:val="32"/>
          <w:lang w:eastAsia="zh-CN"/>
        </w:rPr>
        <w:t>招标投标</w:t>
      </w:r>
      <w:r>
        <w:rPr>
          <w:rFonts w:hint="eastAsia" w:ascii="仿宋_GB2312" w:hAnsi="仿宋_GB2312" w:eastAsia="仿宋_GB2312" w:cs="仿宋_GB2312"/>
          <w:b w:val="0"/>
          <w:bCs w:val="0"/>
          <w:sz w:val="32"/>
          <w:szCs w:val="32"/>
          <w:lang w:val="en-US" w:eastAsia="zh-CN"/>
        </w:rPr>
        <w:t>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1.4、中标公示1天后7天内签订合同，签订合同后要在10天内完成项目的绿色建筑设计工作。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原则上符合报价文件且在同等条件下以总投标报价最优惠的单位为中标单位，由集团询价小组共同确认，最终报集团三重一大会议确定。</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完成项目的绿色建筑星级为基本级的设计、审查、检测、验收评级工作。</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spacing w:line="48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项目名称</w:t>
      </w:r>
      <w:r>
        <w:rPr>
          <w:rFonts w:hint="eastAsia" w:ascii="黑体" w:hAnsi="黑体" w:eastAsia="黑体" w:cs="黑体"/>
          <w:b/>
          <w:bCs/>
          <w:sz w:val="32"/>
          <w:szCs w:val="32"/>
          <w:lang w:val="zh-CN" w:eastAsia="zh-CN"/>
        </w:rPr>
        <w:t>：</w:t>
      </w:r>
      <w:r>
        <w:rPr>
          <w:rFonts w:hint="eastAsia" w:ascii="仿宋" w:hAnsi="仿宋" w:eastAsia="仿宋" w:cs="仿宋"/>
          <w:b w:val="0"/>
          <w:bCs w:val="0"/>
          <w:color w:val="auto"/>
          <w:sz w:val="32"/>
          <w:szCs w:val="32"/>
          <w:highlight w:val="none"/>
          <w:shd w:val="clear" w:color="auto" w:fill="auto"/>
          <w:lang w:val="en-US" w:eastAsia="zh-CN"/>
        </w:rPr>
        <w:t>会昌县消防训练基地（九州大道特勤消防救援站）二期建设项目绿色建筑设计</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项目建设地点：</w:t>
      </w:r>
      <w:r>
        <w:rPr>
          <w:rFonts w:hint="eastAsia" w:ascii="仿宋_GB2312" w:hAnsi="仿宋_GB2312" w:eastAsia="仿宋_GB2312" w:cs="仿宋_GB2312"/>
          <w:sz w:val="32"/>
          <w:szCs w:val="32"/>
          <w:lang w:val="en-US" w:eastAsia="zh-CN"/>
        </w:rPr>
        <w:t>会昌县九州工业园</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sz w:val="32"/>
          <w:szCs w:val="32"/>
          <w:lang w:val="en-US" w:eastAsia="zh-CN"/>
        </w:rPr>
        <w:t>项目建设内容：</w:t>
      </w:r>
      <w:r>
        <w:rPr>
          <w:rFonts w:hint="eastAsia" w:ascii="仿宋_GB2312" w:hAnsi="仿宋_GB2312" w:eastAsia="仿宋_GB2312" w:cs="仿宋_GB2312"/>
          <w:color w:val="auto"/>
          <w:sz w:val="32"/>
          <w:szCs w:val="32"/>
          <w:highlight w:val="none"/>
          <w:u w:val="none"/>
          <w:shd w:val="clear" w:color="auto" w:fill="auto"/>
          <w:lang w:val="en-US" w:eastAsia="zh-CN"/>
        </w:rPr>
        <w:t>新建特勤站二期附属楼、室内训练场、人防地下室，建筑面积约4247平方米，总投资约2002万元。</w:t>
      </w: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投标报价表</w:t>
      </w:r>
    </w:p>
    <w:tbl>
      <w:tblPr>
        <w:tblStyle w:val="7"/>
        <w:tblpPr w:leftFromText="180" w:rightFromText="180" w:vertAnchor="text" w:horzAnchor="page" w:tblpX="1975" w:tblpY="212"/>
        <w:tblOverlap w:val="never"/>
        <w:tblW w:w="8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9"/>
        <w:gridCol w:w="1541"/>
        <w:gridCol w:w="2183"/>
        <w:gridCol w:w="1445"/>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9"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eastAsia="zh-CN"/>
              </w:rPr>
              <w:t>项目名称</w:t>
            </w:r>
          </w:p>
        </w:tc>
        <w:tc>
          <w:tcPr>
            <w:tcW w:w="1541"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项目总投资</w:t>
            </w:r>
          </w:p>
        </w:tc>
        <w:tc>
          <w:tcPr>
            <w:tcW w:w="2183"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本次绿色建筑设计工作控制价</w:t>
            </w:r>
          </w:p>
        </w:tc>
        <w:tc>
          <w:tcPr>
            <w:tcW w:w="1445"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报价</w:t>
            </w:r>
          </w:p>
        </w:tc>
        <w:tc>
          <w:tcPr>
            <w:tcW w:w="1555"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trPr>
        <w:tc>
          <w:tcPr>
            <w:tcW w:w="2089" w:type="dxa"/>
            <w:vAlign w:val="center"/>
          </w:tcPr>
          <w:p>
            <w:pPr>
              <w:pStyle w:val="3"/>
              <w:ind w:left="0" w:leftChars="0" w:firstLine="0" w:firstLineChars="0"/>
              <w:jc w:val="center"/>
              <w:rPr>
                <w:rFonts w:hint="eastAsia" w:ascii="仿宋" w:hAnsi="仿宋" w:eastAsia="仿宋" w:cs="仿宋"/>
                <w:sz w:val="21"/>
                <w:szCs w:val="21"/>
                <w:vertAlign w:val="baseline"/>
                <w:lang w:eastAsia="zh-CN"/>
              </w:rPr>
            </w:pPr>
            <w:r>
              <w:rPr>
                <w:rFonts w:hint="eastAsia" w:ascii="仿宋" w:hAnsi="仿宋" w:eastAsia="仿宋" w:cs="仿宋"/>
                <w:b w:val="0"/>
                <w:bCs w:val="0"/>
                <w:color w:val="auto"/>
                <w:sz w:val="21"/>
                <w:szCs w:val="21"/>
                <w:highlight w:val="none"/>
                <w:shd w:val="clear" w:color="auto" w:fill="auto"/>
                <w:lang w:val="en-US" w:eastAsia="zh-CN"/>
              </w:rPr>
              <w:t>会昌县消防训练基地（九州大道特勤消防救援站）二期建设项目绿色建筑设计</w:t>
            </w:r>
          </w:p>
        </w:tc>
        <w:tc>
          <w:tcPr>
            <w:tcW w:w="1541" w:type="dxa"/>
            <w:vAlign w:val="center"/>
          </w:tcPr>
          <w:p>
            <w:pPr>
              <w:pStyle w:val="3"/>
              <w:ind w:left="0" w:leftChars="0" w:firstLine="0" w:firstLineChars="0"/>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约2002万元（以实际为准）</w:t>
            </w:r>
            <w:bookmarkStart w:id="1" w:name="_GoBack"/>
            <w:bookmarkEnd w:id="1"/>
          </w:p>
        </w:tc>
        <w:tc>
          <w:tcPr>
            <w:tcW w:w="2183" w:type="dxa"/>
            <w:vAlign w:val="center"/>
          </w:tcPr>
          <w:p>
            <w:pPr>
              <w:pStyle w:val="3"/>
              <w:ind w:left="0" w:leftChars="0" w:firstLine="0" w:firstLineChars="0"/>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4.5万元</w:t>
            </w:r>
          </w:p>
        </w:tc>
        <w:tc>
          <w:tcPr>
            <w:tcW w:w="1445" w:type="dxa"/>
            <w:vAlign w:val="center"/>
          </w:tcPr>
          <w:p>
            <w:pPr>
              <w:pStyle w:val="3"/>
              <w:ind w:left="0" w:leftChars="0" w:firstLine="0" w:firstLineChars="0"/>
              <w:jc w:val="center"/>
              <w:rPr>
                <w:rFonts w:hint="eastAsia" w:ascii="仿宋" w:hAnsi="仿宋" w:eastAsia="仿宋" w:cs="仿宋"/>
                <w:b w:val="0"/>
                <w:bCs w:val="0"/>
                <w:sz w:val="21"/>
                <w:szCs w:val="21"/>
                <w:vertAlign w:val="baseline"/>
                <w:lang w:val="en-US" w:eastAsia="zh-CN"/>
              </w:rPr>
            </w:pPr>
          </w:p>
        </w:tc>
        <w:tc>
          <w:tcPr>
            <w:tcW w:w="1555" w:type="dxa"/>
            <w:vAlign w:val="center"/>
          </w:tcPr>
          <w:p>
            <w:pPr>
              <w:pStyle w:val="3"/>
              <w:ind w:left="0" w:leftChars="0" w:firstLine="0" w:firstLineChars="0"/>
              <w:jc w:val="center"/>
              <w:rPr>
                <w:rFonts w:hint="default" w:ascii="仿宋" w:hAnsi="仿宋" w:eastAsia="仿宋" w:cs="仿宋"/>
                <w:b w:val="0"/>
                <w:bCs w:val="0"/>
                <w:sz w:val="21"/>
                <w:szCs w:val="21"/>
                <w:vertAlign w:val="baseline"/>
                <w:lang w:val="en-US" w:eastAsia="zh-CN"/>
              </w:rPr>
            </w:pPr>
          </w:p>
        </w:tc>
      </w:tr>
    </w:tbl>
    <w:p>
      <w:pPr>
        <w:widowControl/>
        <w:spacing w:line="500" w:lineRule="exact"/>
        <w:jc w:val="both"/>
        <w:rPr>
          <w:rFonts w:hint="default" w:ascii="宋体" w:hAnsi="宋体" w:cs="宋体"/>
          <w:b w:val="0"/>
          <w:bCs/>
          <w:color w:val="000000"/>
          <w:kern w:val="0"/>
          <w:sz w:val="32"/>
          <w:szCs w:val="32"/>
          <w:lang w:val="en-US" w:eastAsia="zh-CN"/>
        </w:rPr>
      </w:pPr>
    </w:p>
    <w:p>
      <w:pPr>
        <w:rPr>
          <w:rFonts w:hint="eastAsia" w:ascii="仿宋_GB2312" w:hAnsi="仿宋_GB2312" w:eastAsia="仿宋_GB2312" w:cs="仿宋_GB2312"/>
          <w:b w:val="0"/>
          <w:bCs w:val="0"/>
          <w:sz w:val="32"/>
          <w:szCs w:val="32"/>
          <w:lang w:val="en-US" w:eastAsia="zh-CN"/>
        </w:rPr>
      </w:pPr>
      <w:r>
        <w:rPr>
          <w:rFonts w:hint="eastAsia" w:ascii="宋体" w:hAnsi="宋体" w:cs="宋体"/>
          <w:b/>
          <w:bCs w:val="0"/>
          <w:color w:val="000000"/>
          <w:kern w:val="0"/>
          <w:sz w:val="36"/>
          <w:szCs w:val="36"/>
          <w:lang w:val="en-US" w:eastAsia="zh-CN"/>
        </w:rPr>
        <w:t xml:space="preserve">   </w:t>
      </w:r>
      <w:r>
        <w:rPr>
          <w:rFonts w:hint="eastAsia" w:ascii="仿宋_GB2312" w:hAnsi="仿宋_GB2312" w:eastAsia="仿宋_GB2312" w:cs="仿宋_GB2312"/>
          <w:b w:val="0"/>
          <w:bCs w:val="0"/>
          <w:sz w:val="32"/>
          <w:szCs w:val="32"/>
          <w:lang w:val="en-US" w:eastAsia="zh-CN"/>
        </w:rPr>
        <w:t>我公司在报价前已充分了解了项目情况及设计工期等所有风险，上述报价包含</w:t>
      </w:r>
      <w:r>
        <w:rPr>
          <w:rFonts w:hint="eastAsia" w:ascii="仿宋" w:hAnsi="仿宋" w:eastAsia="仿宋" w:cs="仿宋"/>
          <w:b w:val="0"/>
          <w:bCs/>
          <w:color w:val="000000"/>
          <w:sz w:val="32"/>
          <w:szCs w:val="32"/>
          <w:lang w:eastAsia="zh-CN"/>
        </w:rPr>
        <w:t>绿色建筑设计工作全部事项</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both"/>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w:t>
      </w:r>
      <w:r>
        <w:rPr>
          <w:rFonts w:hint="eastAsia" w:ascii="仿宋_GB2312" w:hAnsi="仿宋_GB2312" w:eastAsia="仿宋_GB2312" w:cs="仿宋_GB2312"/>
          <w:bCs/>
          <w:color w:val="auto"/>
          <w:sz w:val="30"/>
          <w:szCs w:val="30"/>
          <w:highlight w:val="none"/>
          <w:lang w:eastAsia="zh-CN"/>
        </w:rPr>
        <w:t>会昌县城市发展投资有限责任公司</w:t>
      </w:r>
      <w:r>
        <w:rPr>
          <w:rFonts w:hint="eastAsia" w:ascii="仿宋_GB2312" w:hAnsi="仿宋_GB2312" w:eastAsia="仿宋_GB2312" w:cs="仿宋_GB2312"/>
          <w:b w:val="0"/>
          <w:bCs w:val="0"/>
          <w:sz w:val="32"/>
          <w:szCs w:val="32"/>
          <w:lang w:val="en-US" w:eastAsia="zh-CN"/>
        </w:rPr>
        <w:t>（包括下属子公司）从业的记录以及不存在控股、管理关系和亲属等利害关系。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jc w:val="both"/>
        <w:rPr>
          <w:rFonts w:ascii="Alibaba PuHuiTi" w:hAnsi="Alibaba PuHuiTi" w:eastAsia="Alibaba PuHuiTi" w:cs="Alibaba PuHuiTi"/>
          <w:i w:val="0"/>
          <w:iCs w:val="0"/>
          <w:caps w:val="0"/>
          <w:color w:val="212529"/>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Alibaba PuHuiTi">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0MDNhN2FjZjgyZDdhODU2NzhkMDQ1YzllMmFlZGMifQ=="/>
  </w:docVars>
  <w:rsids>
    <w:rsidRoot w:val="4FB858D6"/>
    <w:rsid w:val="010256E3"/>
    <w:rsid w:val="01426AE8"/>
    <w:rsid w:val="0168325F"/>
    <w:rsid w:val="0379139B"/>
    <w:rsid w:val="03D92215"/>
    <w:rsid w:val="03F31506"/>
    <w:rsid w:val="06B01930"/>
    <w:rsid w:val="09AB1369"/>
    <w:rsid w:val="0A9200C1"/>
    <w:rsid w:val="0D996F38"/>
    <w:rsid w:val="108E4B11"/>
    <w:rsid w:val="10DD77C5"/>
    <w:rsid w:val="13462A2A"/>
    <w:rsid w:val="136044BA"/>
    <w:rsid w:val="15C57D7C"/>
    <w:rsid w:val="19834C82"/>
    <w:rsid w:val="1C3822A9"/>
    <w:rsid w:val="1E357A05"/>
    <w:rsid w:val="22880AAD"/>
    <w:rsid w:val="22B825F1"/>
    <w:rsid w:val="230A1F70"/>
    <w:rsid w:val="23405970"/>
    <w:rsid w:val="23690BFC"/>
    <w:rsid w:val="243374D9"/>
    <w:rsid w:val="24F26FF6"/>
    <w:rsid w:val="26BE7ADF"/>
    <w:rsid w:val="27EB411E"/>
    <w:rsid w:val="27F76F67"/>
    <w:rsid w:val="290B259E"/>
    <w:rsid w:val="2D391DD0"/>
    <w:rsid w:val="33B1681F"/>
    <w:rsid w:val="3498562E"/>
    <w:rsid w:val="356E45E1"/>
    <w:rsid w:val="3578628D"/>
    <w:rsid w:val="3D0870C9"/>
    <w:rsid w:val="465B6B84"/>
    <w:rsid w:val="478101A3"/>
    <w:rsid w:val="47CF53B3"/>
    <w:rsid w:val="48401A3A"/>
    <w:rsid w:val="4B2B6413"/>
    <w:rsid w:val="4B8F0048"/>
    <w:rsid w:val="4C7E1155"/>
    <w:rsid w:val="4DFA2A5E"/>
    <w:rsid w:val="4E7355DD"/>
    <w:rsid w:val="4FA669F9"/>
    <w:rsid w:val="4FB858D6"/>
    <w:rsid w:val="52607245"/>
    <w:rsid w:val="529B44E1"/>
    <w:rsid w:val="55FF6951"/>
    <w:rsid w:val="56BF4844"/>
    <w:rsid w:val="56E20B7B"/>
    <w:rsid w:val="57032901"/>
    <w:rsid w:val="5806097D"/>
    <w:rsid w:val="580E02F4"/>
    <w:rsid w:val="5CE619E9"/>
    <w:rsid w:val="5EB32EE1"/>
    <w:rsid w:val="60A2100C"/>
    <w:rsid w:val="616B54E2"/>
    <w:rsid w:val="61DE5866"/>
    <w:rsid w:val="63A26C03"/>
    <w:rsid w:val="651A04AE"/>
    <w:rsid w:val="68D51FA4"/>
    <w:rsid w:val="6C4820B0"/>
    <w:rsid w:val="71926B20"/>
    <w:rsid w:val="71A1306D"/>
    <w:rsid w:val="72A33F94"/>
    <w:rsid w:val="73903399"/>
    <w:rsid w:val="739116EA"/>
    <w:rsid w:val="740117C0"/>
    <w:rsid w:val="78074156"/>
    <w:rsid w:val="78FE0568"/>
    <w:rsid w:val="79097DAE"/>
    <w:rsid w:val="79872B48"/>
    <w:rsid w:val="7C52743D"/>
    <w:rsid w:val="7F0A4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envelope return"/>
    <w:basedOn w:val="1"/>
    <w:qFormat/>
    <w:uiPriority w:val="0"/>
    <w:pPr>
      <w:snapToGrid w:val="0"/>
    </w:pPr>
    <w:rPr>
      <w:rFonts w:ascii="Arial" w:hAnsi="Arial"/>
    </w:rPr>
  </w:style>
  <w:style w:type="paragraph" w:styleId="5">
    <w:name w:val="Body Text First Indent 2"/>
    <w:basedOn w:val="3"/>
    <w:next w:val="1"/>
    <w:qFormat/>
    <w:uiPriority w:val="0"/>
    <w:pPr>
      <w:spacing w:after="120" w:afterLines="0" w:line="240" w:lineRule="auto"/>
      <w:ind w:left="420" w:leftChars="200"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1404</Words>
  <Characters>1494</Characters>
  <Lines>0</Lines>
  <Paragraphs>0</Paragraphs>
  <TotalTime>2</TotalTime>
  <ScaleCrop>false</ScaleCrop>
  <LinksUpToDate>false</LinksUpToDate>
  <CharactersWithSpaces>1588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2023-05-04T07:19:00Z</dcterms:created>
  <dc:creator>木兆</dc:creator>
  <cp:lastModifiedBy>Fbewon</cp:lastModifiedBy>
  <dcterms:modified xsi:type="dcterms:W3CDTF">2023-11-09T00:38:03Z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EF30352E97AD4853A553F0E3DA085B09_13</vt:lpwstr>
  </property>
</Properties>
</file>