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ascii="黑体" w:hAnsi="黑体" w:eastAsia="黑体" w:cs="黑体"/>
        </w:rPr>
      </w:pPr>
      <w:r>
        <w:rPr>
          <w:rFonts w:hint="eastAsia" w:ascii="黑体" w:hAnsi="黑体" w:eastAsia="黑体" w:cs="黑体"/>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在麻州镇冷链物流中心建设项目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需要楼顶发光字体制作安装，</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报价截止时间为2023年11月13日17时。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楼顶发光字制作安装。</w:t>
      </w:r>
    </w:p>
    <w:p>
      <w:pPr>
        <w:pStyle w:val="2"/>
        <w:numPr>
          <w:ilvl w:val="0"/>
          <w:numId w:val="0"/>
        </w:numPr>
        <w:ind w:leftChars="400"/>
        <w:rPr>
          <w:rFonts w:hint="eastAsia" w:ascii="黑体" w:hAnsi="黑体" w:eastAsia="黑体" w:cs="黑体"/>
          <w:lang w:val="en-US" w:eastAsia="zh-CN"/>
        </w:rPr>
      </w:pPr>
    </w:p>
    <w:p>
      <w:pP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br w:type="page"/>
      </w:r>
    </w:p>
    <w:p>
      <w:pPr>
        <w:numPr>
          <w:ilvl w:val="0"/>
          <w:numId w:val="1"/>
        </w:numPr>
        <w:spacing w:line="480" w:lineRule="exact"/>
        <w:rPr>
          <w:rFonts w:hint="eastAsia" w:ascii="黑体" w:hAnsi="黑体" w:eastAsia="黑体" w:cs="黑体"/>
          <w:bCs/>
          <w:sz w:val="28"/>
          <w:szCs w:val="28"/>
          <w:lang w:val="en-US" w:eastAsia="zh-CN"/>
        </w:rPr>
      </w:pPr>
      <w:r>
        <w:rPr>
          <w:rFonts w:hint="eastAsia" w:ascii="黑体" w:hAnsi="黑体" w:eastAsia="黑体" w:cs="黑体"/>
          <w:sz w:val="28"/>
          <w:szCs w:val="28"/>
          <w:lang w:val="en-US" w:eastAsia="zh-CN"/>
        </w:rPr>
        <w:t>询价内容及要求：</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1927"/>
        <w:gridCol w:w="669"/>
        <w:gridCol w:w="1362"/>
        <w:gridCol w:w="898"/>
        <w:gridCol w:w="1165"/>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名称</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规格</w:t>
            </w: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单位</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暂定工程量</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单价</w:t>
            </w: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金额</w:t>
            </w: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冲孔发光字</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1.5m*1.5m</w:t>
            </w: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个</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16</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包含铁架固定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电缆线</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m</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80</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控制电箱</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空开、时控开工、交流接触器</w:t>
            </w: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套</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1</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tcPr>
          <w:p>
            <w:pPr>
              <w:spacing w:line="480" w:lineRule="exact"/>
              <w:jc w:val="center"/>
              <w:rPr>
                <w:rFonts w:hint="eastAsia" w:ascii="黑体" w:hAnsi="黑体" w:eastAsia="黑体" w:cs="黑体"/>
                <w:bCs/>
                <w:sz w:val="22"/>
                <w:szCs w:val="22"/>
                <w:u w:val="single"/>
                <w:vertAlign w:val="baseline"/>
                <w:lang w:val="en-US" w:eastAsia="zh-CN"/>
              </w:rPr>
            </w:pPr>
            <w:r>
              <w:rPr>
                <w:rFonts w:hint="eastAsia" w:ascii="黑体" w:hAnsi="黑体" w:eastAsia="黑体" w:cs="黑体"/>
                <w:bCs/>
                <w:sz w:val="22"/>
                <w:szCs w:val="22"/>
                <w:vertAlign w:val="baseline"/>
                <w:lang w:val="en-US" w:eastAsia="zh-CN"/>
              </w:rPr>
              <w:t>合计金额：</w:t>
            </w:r>
            <w:r>
              <w:rPr>
                <w:rFonts w:hint="eastAsia" w:ascii="黑体" w:hAnsi="黑体" w:eastAsia="黑体" w:cs="黑体"/>
                <w:bCs/>
                <w:sz w:val="22"/>
                <w:szCs w:val="22"/>
                <w:u w:val="single"/>
                <w:vertAlign w:val="baseline"/>
                <w:lang w:val="en-US" w:eastAsia="zh-CN"/>
              </w:rPr>
              <w:t xml:space="preserve">       </w:t>
            </w:r>
            <w:r>
              <w:rPr>
                <w:rFonts w:hint="eastAsia" w:ascii="黑体" w:hAnsi="黑体" w:eastAsia="黑体" w:cs="黑体"/>
                <w:bCs/>
                <w:sz w:val="22"/>
                <w:szCs w:val="22"/>
                <w:u w:val="none"/>
                <w:vertAlign w:val="baseline"/>
                <w:lang w:val="en-US" w:eastAsia="zh-CN"/>
              </w:rPr>
              <w:t xml:space="preserve">   元（含</w:t>
            </w:r>
            <w:r>
              <w:rPr>
                <w:rFonts w:hint="eastAsia" w:ascii="黑体" w:hAnsi="黑体" w:eastAsia="黑体" w:cs="黑体"/>
                <w:bCs/>
                <w:sz w:val="22"/>
                <w:szCs w:val="22"/>
                <w:u w:val="single"/>
                <w:vertAlign w:val="baseline"/>
                <w:lang w:val="en-US" w:eastAsia="zh-CN"/>
              </w:rPr>
              <w:t xml:space="preserve">   %</w:t>
            </w:r>
            <w:r>
              <w:rPr>
                <w:rFonts w:hint="eastAsia" w:ascii="黑体" w:hAnsi="黑体" w:eastAsia="黑体" w:cs="黑体"/>
                <w:bCs/>
                <w:sz w:val="22"/>
                <w:szCs w:val="22"/>
                <w:u w:val="none"/>
                <w:vertAlign w:val="baseline"/>
                <w:lang w:val="en-US" w:eastAsia="zh-CN"/>
              </w:rPr>
              <w:t>增值税专票）</w:t>
            </w:r>
          </w:p>
        </w:tc>
      </w:tr>
    </w:tbl>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eastAsia="zh-CN"/>
        </w:rPr>
        <w:t>按实际工程结算</w:t>
      </w:r>
    </w:p>
    <w:p>
      <w:pPr>
        <w:pStyle w:val="2"/>
        <w:rPr>
          <w:rFonts w:hint="eastAsia" w:ascii="黑体" w:hAnsi="黑体" w:eastAsia="黑体" w:cs="黑体"/>
          <w:bCs/>
          <w:sz w:val="28"/>
          <w:szCs w:val="28"/>
          <w:lang w:eastAsia="zh-CN"/>
        </w:rPr>
      </w:pPr>
      <w:r>
        <w:rPr>
          <w:rFonts w:hint="eastAsia" w:ascii="黑体" w:hAnsi="黑体" w:eastAsia="黑体" w:cs="黑体"/>
          <w:bCs/>
          <w:sz w:val="28"/>
          <w:szCs w:val="28"/>
          <w:lang w:eastAsia="zh-CN"/>
        </w:rPr>
        <w:t>要求：1、供应商所提供设备、材料必须符合国家质量标准，并出示法定检验机构对该产品的检验证明，并经招标人许可后方可使用</w:t>
      </w:r>
    </w:p>
    <w:p>
      <w:pPr>
        <w:pStyle w:val="2"/>
        <w:rPr>
          <w:rFonts w:hint="eastAsia" w:ascii="黑体" w:hAnsi="黑体" w:eastAsia="黑体" w:cs="黑体"/>
          <w:lang w:eastAsia="zh-CN"/>
        </w:rPr>
      </w:pPr>
      <w:r>
        <w:rPr>
          <w:rFonts w:hint="eastAsia" w:ascii="黑体" w:hAnsi="黑体" w:eastAsia="黑体" w:cs="黑体"/>
          <w:bCs/>
          <w:sz w:val="28"/>
          <w:szCs w:val="28"/>
          <w:lang w:eastAsia="zh-CN"/>
        </w:rPr>
        <w:t>2、设备及工艺质量保修期应不低于一年。厂家规定超过一年的按厂家规定执行，在保修期内出现质量问题由中标单位进行更换、修理。</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hint="eastAsia"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6"/>
        <w:gridCol w:w="1927"/>
        <w:gridCol w:w="669"/>
        <w:gridCol w:w="1362"/>
        <w:gridCol w:w="898"/>
        <w:gridCol w:w="1165"/>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名称</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规格</w:t>
            </w: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单位</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暂定工程量</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单价</w:t>
            </w: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金额</w:t>
            </w: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冲孔发光字</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1.5m*1.5m</w:t>
            </w: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个</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16</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包含铁架固定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电缆线</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m</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80</w:t>
            </w:r>
            <w:bookmarkStart w:id="0" w:name="_GoBack"/>
            <w:bookmarkEnd w:id="0"/>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6"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控制电箱</w:t>
            </w:r>
          </w:p>
        </w:tc>
        <w:tc>
          <w:tcPr>
            <w:tcW w:w="1927"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空开、时控开工、交流接触器</w:t>
            </w:r>
          </w:p>
        </w:tc>
        <w:tc>
          <w:tcPr>
            <w:tcW w:w="669"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套</w:t>
            </w:r>
          </w:p>
        </w:tc>
        <w:tc>
          <w:tcPr>
            <w:tcW w:w="1362" w:type="dxa"/>
            <w:vAlign w:val="center"/>
          </w:tcPr>
          <w:p>
            <w:pPr>
              <w:spacing w:line="480" w:lineRule="exact"/>
              <w:jc w:val="center"/>
              <w:rPr>
                <w:rFonts w:hint="eastAsia" w:ascii="黑体" w:hAnsi="黑体" w:eastAsia="黑体" w:cs="黑体"/>
                <w:bCs/>
                <w:sz w:val="22"/>
                <w:szCs w:val="22"/>
                <w:vertAlign w:val="baseline"/>
                <w:lang w:val="en-US" w:eastAsia="zh-CN"/>
              </w:rPr>
            </w:pPr>
            <w:r>
              <w:rPr>
                <w:rFonts w:hint="eastAsia" w:ascii="黑体" w:hAnsi="黑体" w:eastAsia="黑体" w:cs="黑体"/>
                <w:bCs/>
                <w:sz w:val="22"/>
                <w:szCs w:val="22"/>
                <w:vertAlign w:val="baseline"/>
                <w:lang w:val="en-US" w:eastAsia="zh-CN"/>
              </w:rPr>
              <w:t>1</w:t>
            </w:r>
          </w:p>
        </w:tc>
        <w:tc>
          <w:tcPr>
            <w:tcW w:w="898"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c>
          <w:tcPr>
            <w:tcW w:w="1165" w:type="dxa"/>
            <w:vAlign w:val="center"/>
          </w:tcPr>
          <w:p>
            <w:pPr>
              <w:spacing w:line="480" w:lineRule="exact"/>
              <w:jc w:val="center"/>
              <w:rPr>
                <w:rFonts w:hint="eastAsia" w:ascii="黑体" w:hAnsi="黑体" w:eastAsia="黑体" w:cs="黑体"/>
                <w:bCs/>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tcPr>
          <w:p>
            <w:pPr>
              <w:spacing w:line="480" w:lineRule="exact"/>
              <w:jc w:val="center"/>
              <w:rPr>
                <w:rFonts w:hint="eastAsia" w:ascii="黑体" w:hAnsi="黑体" w:eastAsia="黑体" w:cs="黑体"/>
                <w:bCs/>
                <w:sz w:val="22"/>
                <w:szCs w:val="22"/>
                <w:u w:val="single"/>
                <w:vertAlign w:val="baseline"/>
                <w:lang w:val="en-US" w:eastAsia="zh-CN"/>
              </w:rPr>
            </w:pPr>
            <w:r>
              <w:rPr>
                <w:rFonts w:hint="eastAsia" w:ascii="黑体" w:hAnsi="黑体" w:eastAsia="黑体" w:cs="黑体"/>
                <w:bCs/>
                <w:sz w:val="22"/>
                <w:szCs w:val="22"/>
                <w:vertAlign w:val="baseline"/>
                <w:lang w:val="en-US" w:eastAsia="zh-CN"/>
              </w:rPr>
              <w:t>合计金额：</w:t>
            </w:r>
            <w:r>
              <w:rPr>
                <w:rFonts w:hint="eastAsia" w:ascii="黑体" w:hAnsi="黑体" w:eastAsia="黑体" w:cs="黑体"/>
                <w:bCs/>
                <w:sz w:val="22"/>
                <w:szCs w:val="22"/>
                <w:u w:val="single"/>
                <w:vertAlign w:val="baseline"/>
                <w:lang w:val="en-US" w:eastAsia="zh-CN"/>
              </w:rPr>
              <w:t xml:space="preserve">       </w:t>
            </w:r>
            <w:r>
              <w:rPr>
                <w:rFonts w:hint="eastAsia" w:ascii="黑体" w:hAnsi="黑体" w:eastAsia="黑体" w:cs="黑体"/>
                <w:bCs/>
                <w:sz w:val="22"/>
                <w:szCs w:val="22"/>
                <w:u w:val="none"/>
                <w:vertAlign w:val="baseline"/>
                <w:lang w:val="en-US" w:eastAsia="zh-CN"/>
              </w:rPr>
              <w:t xml:space="preserve">   元（含</w:t>
            </w:r>
            <w:r>
              <w:rPr>
                <w:rFonts w:hint="eastAsia" w:ascii="黑体" w:hAnsi="黑体" w:eastAsia="黑体" w:cs="黑体"/>
                <w:bCs/>
                <w:sz w:val="22"/>
                <w:szCs w:val="22"/>
                <w:u w:val="single"/>
                <w:vertAlign w:val="baseline"/>
                <w:lang w:val="en-US" w:eastAsia="zh-CN"/>
              </w:rPr>
              <w:t xml:space="preserve">   %</w:t>
            </w:r>
            <w:r>
              <w:rPr>
                <w:rFonts w:hint="eastAsia" w:ascii="黑体" w:hAnsi="黑体" w:eastAsia="黑体" w:cs="黑体"/>
                <w:bCs/>
                <w:sz w:val="22"/>
                <w:szCs w:val="22"/>
                <w:u w:val="none"/>
                <w:vertAlign w:val="baseline"/>
                <w:lang w:val="en-US" w:eastAsia="zh-CN"/>
              </w:rPr>
              <w:t>增值税专票）</w:t>
            </w:r>
          </w:p>
        </w:tc>
      </w:tr>
    </w:tbl>
    <w:p>
      <w:pPr>
        <w:spacing w:line="480" w:lineRule="exact"/>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按实际工程量结算</w:t>
      </w:r>
    </w:p>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要求：1、供应商所提供设备、材料必须符合国家质量标准，并出示法定检验机构对该产品的检验证明，并经招标人许可后方可使用</w:t>
      </w:r>
    </w:p>
    <w:p>
      <w:pPr>
        <w:spacing w:line="480" w:lineRule="exact"/>
        <w:jc w:val="center"/>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      2、设备及工艺质量保修期应不低于一年。厂家规定超过一年的按厂家规定执行，在保修期内出现质量问题由中标单位进行更换、修理。</w:t>
      </w:r>
    </w:p>
    <w:p>
      <w:pPr>
        <w:spacing w:line="480" w:lineRule="exact"/>
        <w:jc w:val="both"/>
        <w:rPr>
          <w:rFonts w:hint="eastAsia" w:ascii="黑体" w:hAnsi="黑体" w:eastAsia="黑体" w:cs="黑体"/>
          <w:bCs/>
          <w:sz w:val="24"/>
          <w:szCs w:val="24"/>
          <w:vertAlign w:val="baseline"/>
          <w:lang w:val="en-US" w:eastAsia="zh-CN"/>
        </w:rPr>
      </w:pPr>
    </w:p>
    <w:p>
      <w:pPr>
        <w:pStyle w:val="2"/>
        <w:rPr>
          <w:rFonts w:hint="eastAsia"/>
          <w:lang w:val="en-US" w:eastAsia="zh-CN"/>
        </w:rPr>
      </w:pPr>
    </w:p>
    <w:p>
      <w:pPr>
        <w:spacing w:line="480" w:lineRule="exact"/>
        <w:ind w:left="0" w:leftChars="0" w:firstLine="4418" w:firstLineChars="1841"/>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报价公司（盖章/签字）：               </w:t>
      </w:r>
    </w:p>
    <w:p>
      <w:pPr>
        <w:spacing w:line="480" w:lineRule="exact"/>
        <w:ind w:left="0" w:leftChars="0" w:firstLine="4418" w:firstLineChars="1841"/>
        <w:jc w:val="both"/>
        <w:rPr>
          <w:rFonts w:hint="eastAsia" w:ascii="黑体" w:hAnsi="黑体" w:eastAsia="黑体" w:cs="黑体"/>
          <w:bCs/>
          <w:sz w:val="24"/>
          <w:szCs w:val="24"/>
          <w:vertAlign w:val="baseline"/>
          <w:lang w:val="en-US" w:eastAsia="zh-CN"/>
        </w:rPr>
      </w:pPr>
      <w:r>
        <w:rPr>
          <w:rFonts w:hint="eastAsia" w:ascii="黑体" w:hAnsi="黑体" w:eastAsia="黑体" w:cs="黑体"/>
          <w:bCs/>
          <w:sz w:val="24"/>
          <w:szCs w:val="24"/>
          <w:vertAlign w:val="baseline"/>
          <w:lang w:val="en-US" w:eastAsia="zh-CN"/>
        </w:rPr>
        <w:t xml:space="preserve">联系电话：               </w:t>
      </w:r>
    </w:p>
    <w:p>
      <w:pPr>
        <w:spacing w:line="480" w:lineRule="exact"/>
        <w:ind w:left="0" w:leftChars="0" w:firstLine="4418" w:firstLineChars="1841"/>
        <w:jc w:val="both"/>
        <w:rPr>
          <w:rFonts w:hint="eastAsia" w:ascii="黑体" w:hAnsi="黑体" w:eastAsia="黑体" w:cs="黑体"/>
          <w:bCs/>
          <w:sz w:val="28"/>
          <w:szCs w:val="28"/>
          <w:lang w:val="en-US" w:eastAsia="zh-CN"/>
        </w:rPr>
      </w:pPr>
      <w:r>
        <w:rPr>
          <w:rFonts w:hint="eastAsia" w:ascii="黑体" w:hAnsi="黑体" w:eastAsia="黑体" w:cs="黑体"/>
          <w:bCs/>
          <w:sz w:val="24"/>
          <w:szCs w:val="24"/>
          <w:vertAlign w:val="baseline"/>
          <w:lang w:val="en-US" w:eastAsia="zh-CN"/>
        </w:rPr>
        <w:t>二〇二三年    月    日</w:t>
      </w:r>
    </w:p>
    <w:p>
      <w:pPr>
        <w:pStyle w:val="2"/>
        <w:ind w:left="0" w:leftChars="0" w:firstLine="0" w:firstLineChars="0"/>
        <w:rPr>
          <w:rFonts w:hint="eastAsia" w:ascii="黑体" w:hAnsi="黑体" w:eastAsia="黑体" w:cs="黑体"/>
          <w:lang w:eastAsia="zh-CN"/>
        </w:rPr>
      </w:pP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2DA35"/>
    <w:multiLevelType w:val="singleLevel"/>
    <w:tmpl w:val="FD92DA3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123B44DB"/>
    <w:rsid w:val="18CD45C3"/>
    <w:rsid w:val="1B1A3D72"/>
    <w:rsid w:val="21904E3C"/>
    <w:rsid w:val="22D1686C"/>
    <w:rsid w:val="23BE366C"/>
    <w:rsid w:val="25016986"/>
    <w:rsid w:val="26CB7B8B"/>
    <w:rsid w:val="282547DB"/>
    <w:rsid w:val="28CA41A9"/>
    <w:rsid w:val="2C2179E7"/>
    <w:rsid w:val="2D7E5468"/>
    <w:rsid w:val="2EC11F71"/>
    <w:rsid w:val="2F8F2BCC"/>
    <w:rsid w:val="329872F1"/>
    <w:rsid w:val="3627310D"/>
    <w:rsid w:val="39CD293D"/>
    <w:rsid w:val="3A41502F"/>
    <w:rsid w:val="3A75308C"/>
    <w:rsid w:val="3B0F003B"/>
    <w:rsid w:val="3D133366"/>
    <w:rsid w:val="3FD748AC"/>
    <w:rsid w:val="41F402E5"/>
    <w:rsid w:val="44337892"/>
    <w:rsid w:val="45737EAE"/>
    <w:rsid w:val="47187195"/>
    <w:rsid w:val="47C562E2"/>
    <w:rsid w:val="50497F6E"/>
    <w:rsid w:val="557821C2"/>
    <w:rsid w:val="57671164"/>
    <w:rsid w:val="59EE16C8"/>
    <w:rsid w:val="5FE64881"/>
    <w:rsid w:val="648373FE"/>
    <w:rsid w:val="64FC5C8D"/>
    <w:rsid w:val="662C7566"/>
    <w:rsid w:val="69CB37D4"/>
    <w:rsid w:val="6B0609B5"/>
    <w:rsid w:val="6BE94F83"/>
    <w:rsid w:val="6E65699A"/>
    <w:rsid w:val="72D36C77"/>
    <w:rsid w:val="7557656C"/>
    <w:rsid w:val="78AA2031"/>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0</TotalTime>
  <ScaleCrop>false</ScaleCrop>
  <LinksUpToDate>false</LinksUpToDate>
  <CharactersWithSpaces>1895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2022-03-20T03:31:00Z</cp:lastPrinted>
  <dcterms:modified xsi:type="dcterms:W3CDTF">2023-11-08T09:37:24Z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07492C39684248778A4FE8B2358E26CE_13</vt:lpwstr>
  </property>
</Properties>
</file>