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bookmarkStart w:id="0" w:name="_Toc80101091"/>
      <w:bookmarkStart w:id="1" w:name="_Toc83712967"/>
      <w:r>
        <w:rPr>
          <w:rFonts w:hint="eastAsia"/>
          <w:lang w:eastAsia="zh-CN"/>
        </w:rPr>
        <w:t>、</w:t>
      </w:r>
      <w:r>
        <w:t>480kW</w:t>
      </w:r>
      <w:r>
        <w:rPr>
          <w:rFonts w:hint="eastAsia"/>
        </w:rPr>
        <w:t>分体式直流</w:t>
      </w:r>
      <w:r>
        <w:t>充电机</w:t>
      </w:r>
      <w:bookmarkEnd w:id="0"/>
      <w:bookmarkEnd w:id="1"/>
      <w:r>
        <w:rPr>
          <w:rFonts w:hint="eastAsia"/>
          <w:lang w:eastAsia="zh-CN"/>
        </w:rPr>
        <w:t>主要技术参数</w:t>
      </w:r>
    </w:p>
    <w:tbl>
      <w:tblPr>
        <w:tblStyle w:val="14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0"/>
        <w:gridCol w:w="1780"/>
        <w:gridCol w:w="5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参数类别</w:t>
            </w: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使用环境</w:t>
            </w: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工作温度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  <w:r>
              <w:t>3</w:t>
            </w:r>
            <w:r>
              <w:rPr>
                <w:rFonts w:hint="eastAsia"/>
              </w:rPr>
              <w:t>0℃～+5</w:t>
            </w:r>
            <w:r>
              <w:t>5</w:t>
            </w:r>
            <w:r>
              <w:rPr>
                <w:rFonts w:hint="eastAsia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相对湿度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5%RH～95%RH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海拔高度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≤2000m（超过需降额使用）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≥IP5</w:t>
            </w:r>
            <w: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噪音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≤65dB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安装方式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落地式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交流输入</w:t>
            </w: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输入制式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三相五线制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额定输入电压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线电压380Vac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电压输入范围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323Vac～456Vac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频率范围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45Hz～65Hz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单路额定输入电流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390A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≥0.99（额定满载）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78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直流输出</w:t>
            </w: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额定输出功率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480kW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额定输出电压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t>100</w:t>
            </w:r>
            <w:r>
              <w:rPr>
                <w:rFonts w:hint="eastAsia"/>
              </w:rPr>
              <w:t>0Vdc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电压输出范围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50Vdc～</w:t>
            </w:r>
            <w:r>
              <w:t>100</w:t>
            </w:r>
            <w:r>
              <w:rPr>
                <w:rFonts w:hint="eastAsia"/>
              </w:rPr>
              <w:t>0Vdc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单路最大输出电流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效率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≥0.95（50%～100%负载）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输出路数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highlight w:val="none"/>
              </w:rPr>
              <w:t>12</w:t>
            </w:r>
            <w:r>
              <w:rPr>
                <w:rFonts w:hint="eastAsia"/>
                <w:highlight w:val="none"/>
              </w:rPr>
              <w:t>路</w:t>
            </w:r>
            <w:r>
              <w:rPr>
                <w:rFonts w:hint="eastAsia"/>
                <w:highlight w:val="none"/>
                <w:lang w:eastAsia="zh-CN"/>
              </w:rPr>
              <w:t>（实际充电桩终端数量</w:t>
            </w:r>
            <w:r>
              <w:rPr>
                <w:rFonts w:hint="eastAsia"/>
                <w:highlight w:val="none"/>
                <w:lang w:val="en-US" w:eastAsia="zh-CN"/>
              </w:rPr>
              <w:t>根据客户需求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56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保护功能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浪涌保护、浸水检测、高温检测、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开门断电、远程断电保护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56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hAnsi="宋体"/>
                <w:color w:val="000000"/>
                <w:sz w:val="21"/>
                <w:szCs w:val="21"/>
                <w:lang w:eastAsia="zh-CN"/>
              </w:rPr>
              <w:t>启动充电方式</w:t>
            </w:r>
          </w:p>
        </w:tc>
        <w:tc>
          <w:tcPr>
            <w:tcW w:w="5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hAnsi="宋体"/>
                <w:color w:val="000000"/>
                <w:sz w:val="21"/>
                <w:szCs w:val="21"/>
                <w:lang w:eastAsia="zh-CN"/>
              </w:rPr>
              <w:t>刷卡、手机</w:t>
            </w:r>
            <w:r>
              <w:rPr>
                <w:rFonts w:hint="eastAsia" w:hAnsi="宋体"/>
                <w:color w:val="000000"/>
                <w:sz w:val="21"/>
                <w:szCs w:val="21"/>
                <w:lang w:val="en-US" w:eastAsia="zh-CN"/>
              </w:rPr>
              <w:t>APP、VIN启动（根据客户需求定制）</w:t>
            </w:r>
          </w:p>
        </w:tc>
      </w:tr>
    </w:tbl>
    <w:p>
      <w:pPr>
        <w:pStyle w:val="3"/>
        <w:rPr>
          <w:b/>
          <w:bCs/>
        </w:rPr>
      </w:pPr>
      <w:bookmarkStart w:id="2" w:name="_Para_khftdyt6_000003"/>
      <w:bookmarkEnd w:id="2"/>
      <w:bookmarkStart w:id="3" w:name="_Toc29802246"/>
      <w:bookmarkStart w:id="4" w:name="_Toc42094844"/>
      <w:r>
        <w:rPr>
          <w:rFonts w:hint="eastAsia"/>
          <w:b/>
          <w:bCs/>
        </w:rPr>
        <w:t>综合监控与</w:t>
      </w:r>
      <w:r>
        <w:rPr>
          <w:b/>
          <w:bCs/>
        </w:rPr>
        <w:t>运营管理云平台技术要求</w:t>
      </w:r>
      <w:bookmarkEnd w:id="3"/>
      <w:bookmarkEnd w:id="4"/>
    </w:p>
    <w:p>
      <w:pPr>
        <w:pStyle w:val="46"/>
        <w:ind w:firstLine="480"/>
        <w:rPr>
          <w:rFonts w:ascii="宋体" w:hAnsi="宋体" w:eastAsia="宋体" w:cs="MS Mincho"/>
          <w:szCs w:val="21"/>
        </w:rPr>
      </w:pPr>
      <w:r>
        <w:rPr>
          <w:rFonts w:hint="eastAsia" w:ascii="宋体" w:hAnsi="宋体" w:eastAsia="宋体" w:cs="MS Mincho"/>
          <w:szCs w:val="21"/>
        </w:rPr>
        <w:t>项目主要包括</w:t>
      </w:r>
      <w:r>
        <w:rPr>
          <w:rFonts w:ascii="宋体" w:hAnsi="宋体" w:eastAsia="宋体" w:cs="MS Mincho"/>
          <w:szCs w:val="21"/>
        </w:rPr>
        <w:t>运</w:t>
      </w:r>
      <w:r>
        <w:rPr>
          <w:rFonts w:hint="eastAsia" w:ascii="宋体" w:hAnsi="宋体" w:eastAsia="宋体" w:cs="MS Mincho"/>
          <w:szCs w:val="21"/>
        </w:rPr>
        <w:t>营管理模块</w:t>
      </w:r>
      <w:r>
        <w:rPr>
          <w:rFonts w:ascii="宋体" w:hAnsi="宋体" w:eastAsia="宋体" w:cs="MS Mincho"/>
          <w:szCs w:val="21"/>
        </w:rPr>
        <w:t>，</w:t>
      </w:r>
      <w:r>
        <w:rPr>
          <w:rFonts w:hint="eastAsia" w:ascii="宋体" w:hAnsi="宋体" w:eastAsia="宋体" w:cs="MS Mincho"/>
          <w:szCs w:val="21"/>
        </w:rPr>
        <w:t>订单销售模块、监控调度模块、运维管理模块、统计分析模块、财务管理模块、大数据分析模块</w:t>
      </w:r>
      <w:r>
        <w:rPr>
          <w:rFonts w:ascii="宋体" w:hAnsi="宋体" w:eastAsia="宋体" w:cs="MS Mincho"/>
          <w:szCs w:val="21"/>
        </w:rPr>
        <w:t>。系</w:t>
      </w:r>
      <w:r>
        <w:rPr>
          <w:rFonts w:hint="eastAsia" w:ascii="宋体" w:hAnsi="宋体" w:eastAsia="宋体" w:cs="MS Mincho"/>
          <w:szCs w:val="21"/>
        </w:rPr>
        <w:t>统</w:t>
      </w:r>
      <w:r>
        <w:rPr>
          <w:rFonts w:ascii="宋体" w:hAnsi="宋体" w:eastAsia="宋体" w:cs="MS Mincho"/>
          <w:szCs w:val="21"/>
        </w:rPr>
        <w:t>架构</w:t>
      </w:r>
      <w:r>
        <w:rPr>
          <w:rFonts w:hint="eastAsia" w:ascii="宋体" w:hAnsi="宋体" w:eastAsia="宋体" w:cs="MS Mincho"/>
          <w:szCs w:val="21"/>
        </w:rPr>
        <w:t>满</w:t>
      </w:r>
      <w:r>
        <w:rPr>
          <w:rFonts w:ascii="宋体" w:hAnsi="宋体" w:eastAsia="宋体" w:cs="MS Mincho"/>
          <w:szCs w:val="21"/>
        </w:rPr>
        <w:t>足接入</w:t>
      </w:r>
      <w:r>
        <w:rPr>
          <w:rFonts w:hint="eastAsia" w:ascii="宋体" w:hAnsi="宋体" w:eastAsia="宋体" w:cs="MS Mincho"/>
          <w:szCs w:val="21"/>
        </w:rPr>
        <w:t>5</w:t>
      </w:r>
      <w:r>
        <w:rPr>
          <w:rFonts w:ascii="宋体" w:hAnsi="宋体" w:eastAsia="宋体" w:cs="MS Mincho"/>
          <w:szCs w:val="21"/>
        </w:rPr>
        <w:t>00个以上充</w:t>
      </w:r>
      <w:r>
        <w:rPr>
          <w:rFonts w:hint="eastAsia" w:ascii="宋体" w:hAnsi="宋体" w:eastAsia="宋体" w:cs="MS Mincho"/>
          <w:szCs w:val="21"/>
        </w:rPr>
        <w:t>电</w:t>
      </w:r>
      <w:r>
        <w:rPr>
          <w:rFonts w:ascii="宋体" w:hAnsi="宋体" w:eastAsia="宋体" w:cs="MS Mincho"/>
          <w:szCs w:val="21"/>
        </w:rPr>
        <w:t>基</w:t>
      </w:r>
      <w:r>
        <w:rPr>
          <w:rFonts w:hint="eastAsia" w:ascii="宋体" w:hAnsi="宋体" w:eastAsia="宋体" w:cs="MS Mincho"/>
          <w:szCs w:val="21"/>
        </w:rPr>
        <w:t>础设</w:t>
      </w:r>
      <w:r>
        <w:rPr>
          <w:rFonts w:ascii="宋体" w:hAnsi="宋体" w:eastAsia="宋体" w:cs="MS Mincho"/>
          <w:szCs w:val="21"/>
        </w:rPr>
        <w:t>施信息技</w:t>
      </w:r>
      <w:r>
        <w:rPr>
          <w:rFonts w:hint="eastAsia" w:ascii="宋体" w:hAnsi="宋体" w:eastAsia="宋体" w:cs="MS Mincho"/>
          <w:szCs w:val="21"/>
        </w:rPr>
        <w:t>术</w:t>
      </w:r>
      <w:r>
        <w:rPr>
          <w:rFonts w:ascii="宋体" w:hAnsi="宋体" w:eastAsia="宋体" w:cs="MS Mincho"/>
          <w:szCs w:val="21"/>
        </w:rPr>
        <w:t>指</w:t>
      </w:r>
      <w:r>
        <w:rPr>
          <w:rFonts w:hint="eastAsia" w:ascii="宋体" w:hAnsi="宋体" w:eastAsia="宋体" w:cs="MS Mincho"/>
          <w:szCs w:val="21"/>
        </w:rPr>
        <w:t>标</w:t>
      </w:r>
      <w:r>
        <w:rPr>
          <w:rFonts w:ascii="宋体" w:hAnsi="宋体" w:eastAsia="宋体" w:cs="MS Mincho"/>
          <w:szCs w:val="21"/>
        </w:rPr>
        <w:t>；提供系</w:t>
      </w:r>
      <w:r>
        <w:rPr>
          <w:rFonts w:hint="eastAsia" w:ascii="宋体" w:hAnsi="宋体" w:eastAsia="宋体" w:cs="MS Mincho"/>
          <w:szCs w:val="21"/>
        </w:rPr>
        <w:t>统</w:t>
      </w:r>
      <w:r>
        <w:rPr>
          <w:rFonts w:ascii="宋体" w:hAnsi="宋体" w:eastAsia="宋体" w:cs="MS Mincho"/>
          <w:szCs w:val="21"/>
        </w:rPr>
        <w:t>接口，逐步将充</w:t>
      </w:r>
      <w:r>
        <w:rPr>
          <w:rFonts w:hint="eastAsia" w:ascii="宋体" w:hAnsi="宋体" w:eastAsia="宋体" w:cs="MS Mincho"/>
          <w:szCs w:val="21"/>
        </w:rPr>
        <w:t>电</w:t>
      </w:r>
      <w:r>
        <w:rPr>
          <w:rFonts w:ascii="宋体" w:hAnsi="宋体" w:eastAsia="宋体" w:cs="MS Mincho"/>
          <w:szCs w:val="21"/>
        </w:rPr>
        <w:t>基</w:t>
      </w:r>
      <w:r>
        <w:rPr>
          <w:rFonts w:hint="eastAsia" w:ascii="宋体" w:hAnsi="宋体" w:eastAsia="宋体" w:cs="MS Mincho"/>
          <w:szCs w:val="21"/>
        </w:rPr>
        <w:t>础设</w:t>
      </w:r>
      <w:r>
        <w:rPr>
          <w:rFonts w:ascii="宋体" w:hAnsi="宋体" w:eastAsia="宋体" w:cs="MS Mincho"/>
          <w:szCs w:val="21"/>
        </w:rPr>
        <w:t>施</w:t>
      </w:r>
      <w:r>
        <w:rPr>
          <w:rFonts w:hint="eastAsia" w:ascii="宋体" w:hAnsi="宋体" w:eastAsia="宋体" w:cs="MS Mincho"/>
          <w:szCs w:val="21"/>
        </w:rPr>
        <w:t>设备</w:t>
      </w:r>
      <w:r>
        <w:rPr>
          <w:rFonts w:ascii="宋体" w:hAnsi="宋体" w:eastAsia="宋体" w:cs="MS Mincho"/>
          <w:szCs w:val="21"/>
        </w:rPr>
        <w:t>信息接入管理平台；建立数据分析系</w:t>
      </w:r>
      <w:r>
        <w:rPr>
          <w:rFonts w:hint="eastAsia" w:ascii="宋体" w:hAnsi="宋体" w:eastAsia="宋体" w:cs="MS Mincho"/>
          <w:szCs w:val="21"/>
        </w:rPr>
        <w:t>统</w:t>
      </w:r>
      <w:r>
        <w:rPr>
          <w:rFonts w:ascii="宋体" w:hAnsi="宋体" w:eastAsia="宋体" w:cs="MS Mincho"/>
          <w:szCs w:val="21"/>
        </w:rPr>
        <w:t>，以平台采集的数据</w:t>
      </w:r>
      <w:r>
        <w:rPr>
          <w:rFonts w:hint="eastAsia" w:ascii="宋体" w:hAnsi="宋体" w:eastAsia="宋体" w:cs="MS Mincho"/>
          <w:szCs w:val="21"/>
        </w:rPr>
        <w:t>为</w:t>
      </w:r>
      <w:r>
        <w:rPr>
          <w:rFonts w:ascii="宋体" w:hAnsi="宋体" w:eastAsia="宋体" w:cs="MS Mincho"/>
          <w:szCs w:val="21"/>
        </w:rPr>
        <w:t>基</w:t>
      </w:r>
      <w:r>
        <w:rPr>
          <w:rFonts w:hint="eastAsia" w:ascii="宋体" w:hAnsi="宋体" w:eastAsia="宋体" w:cs="MS Mincho"/>
          <w:szCs w:val="21"/>
        </w:rPr>
        <w:t>础</w:t>
      </w:r>
      <w:r>
        <w:rPr>
          <w:rFonts w:ascii="宋体" w:hAnsi="宋体" w:eastAsia="宋体" w:cs="MS Mincho"/>
          <w:szCs w:val="21"/>
        </w:rPr>
        <w:t>，</w:t>
      </w:r>
      <w:r>
        <w:rPr>
          <w:rFonts w:hint="eastAsia" w:ascii="宋体" w:hAnsi="宋体" w:eastAsia="宋体" w:cs="MS Mincho"/>
          <w:szCs w:val="21"/>
        </w:rPr>
        <w:t>进行</w:t>
      </w:r>
      <w:r>
        <w:rPr>
          <w:rFonts w:ascii="宋体" w:hAnsi="宋体" w:eastAsia="宋体" w:cs="MS Mincho"/>
          <w:szCs w:val="21"/>
        </w:rPr>
        <w:t>统计分析，</w:t>
      </w:r>
      <w:r>
        <w:rPr>
          <w:rFonts w:hint="eastAsia" w:ascii="宋体" w:hAnsi="宋体" w:eastAsia="宋体" w:cs="MS Mincho"/>
          <w:szCs w:val="21"/>
        </w:rPr>
        <w:t>为下一步科学规划充电基础设施建设等决策提供依据；建立新能源汽车充电服务系统，为用户提供充电业务</w:t>
      </w:r>
      <w:r>
        <w:rPr>
          <w:rFonts w:ascii="宋体" w:hAnsi="宋体" w:eastAsia="宋体" w:cs="MS Mincho"/>
          <w:szCs w:val="21"/>
        </w:rPr>
        <w:t>服务；具</w:t>
      </w:r>
      <w:r>
        <w:rPr>
          <w:rFonts w:hint="eastAsia" w:ascii="宋体" w:hAnsi="宋体" w:eastAsia="宋体" w:cs="MS Mincho"/>
          <w:szCs w:val="21"/>
        </w:rPr>
        <w:t>备</w:t>
      </w:r>
      <w:r>
        <w:rPr>
          <w:rFonts w:ascii="宋体" w:hAnsi="宋体" w:eastAsia="宋体" w:cs="MS Mincho"/>
          <w:szCs w:val="21"/>
        </w:rPr>
        <w:t>兼容能力，</w:t>
      </w:r>
      <w:r>
        <w:rPr>
          <w:rFonts w:hint="eastAsia" w:ascii="宋体" w:hAnsi="宋体" w:eastAsia="宋体" w:cs="MS Mincho"/>
          <w:szCs w:val="21"/>
        </w:rPr>
        <w:t>满</w:t>
      </w:r>
      <w:r>
        <w:rPr>
          <w:rFonts w:ascii="宋体" w:hAnsi="宋体" w:eastAsia="宋体" w:cs="MS Mincho"/>
          <w:szCs w:val="21"/>
        </w:rPr>
        <w:t>足可</w:t>
      </w:r>
      <w:r>
        <w:rPr>
          <w:rFonts w:hint="eastAsia" w:ascii="宋体" w:hAnsi="宋体" w:eastAsia="宋体" w:cs="MS Mincho"/>
          <w:szCs w:val="21"/>
        </w:rPr>
        <w:t>扩</w:t>
      </w:r>
      <w:r>
        <w:rPr>
          <w:rFonts w:ascii="宋体" w:hAnsi="宋体" w:eastAsia="宋体" w:cs="MS Mincho"/>
          <w:szCs w:val="21"/>
        </w:rPr>
        <w:t>展的接口条件</w:t>
      </w:r>
      <w:r>
        <w:rPr>
          <w:rFonts w:hint="eastAsia" w:ascii="宋体" w:hAnsi="宋体" w:eastAsia="宋体" w:cs="MS Mincho"/>
          <w:szCs w:val="21"/>
        </w:rPr>
        <w:t>。</w:t>
      </w:r>
    </w:p>
    <w:p>
      <w:pPr>
        <w:pStyle w:val="46"/>
        <w:ind w:firstLine="480"/>
        <w:rPr>
          <w:rFonts w:hint="eastAsia" w:ascii="宋体" w:hAnsi="宋体" w:eastAsia="宋体" w:cs="MS Mincho"/>
          <w:szCs w:val="21"/>
        </w:rPr>
      </w:pPr>
    </w:p>
    <w:p>
      <w:pPr>
        <w:pStyle w:val="46"/>
        <w:ind w:firstLine="480"/>
        <w:rPr>
          <w:rFonts w:hint="eastAsia" w:ascii="宋体" w:hAnsi="宋体" w:eastAsia="宋体" w:cs="MS Mincho"/>
          <w:szCs w:val="21"/>
        </w:rPr>
      </w:pPr>
      <w:r>
        <w:rPr>
          <w:rFonts w:hint="eastAsia" w:ascii="宋体" w:hAnsi="宋体" w:eastAsia="宋体" w:cs="MS Mincho"/>
          <w:szCs w:val="21"/>
        </w:rPr>
        <w:t>具体功能列表如下：</w:t>
      </w:r>
    </w:p>
    <w:p>
      <w:pPr>
        <w:pStyle w:val="46"/>
        <w:ind w:firstLine="480"/>
        <w:rPr>
          <w:rFonts w:hint="eastAsia" w:ascii="宋体" w:hAnsi="宋体" w:eastAsia="宋体" w:cs="MS Mincho"/>
          <w:szCs w:val="21"/>
        </w:rPr>
      </w:pPr>
    </w:p>
    <w:tbl>
      <w:tblPr>
        <w:tblStyle w:val="1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2015"/>
        <w:gridCol w:w="1639"/>
        <w:gridCol w:w="29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tblHeader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/>
            <w:vAlign w:val="center"/>
          </w:tcPr>
          <w:p>
            <w:pPr>
              <w:jc w:val="center"/>
              <w:rPr>
                <w:rFonts w:hAnsi="宋体" w:cs="Segoe UI"/>
                <w:b/>
                <w:bCs/>
                <w:sz w:val="21"/>
                <w:szCs w:val="21"/>
              </w:rPr>
            </w:pPr>
            <w:r>
              <w:rPr>
                <w:rFonts w:hAnsi="宋体" w:cs="Segoe UI"/>
                <w:b/>
                <w:bCs/>
                <w:sz w:val="21"/>
                <w:szCs w:val="21"/>
              </w:rPr>
              <w:t>模块</w:t>
            </w:r>
          </w:p>
        </w:tc>
        <w:tc>
          <w:tcPr>
            <w:tcW w:w="11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EAAAA"/>
            <w:vAlign w:val="center"/>
          </w:tcPr>
          <w:p>
            <w:pPr>
              <w:jc w:val="center"/>
              <w:rPr>
                <w:rFonts w:hAnsi="宋体" w:cs="Segoe UI"/>
                <w:b/>
                <w:bCs/>
                <w:sz w:val="21"/>
                <w:szCs w:val="21"/>
              </w:rPr>
            </w:pPr>
            <w:r>
              <w:rPr>
                <w:rFonts w:hAnsi="宋体" w:cs="Segoe UI"/>
                <w:b/>
                <w:bCs/>
                <w:sz w:val="21"/>
                <w:szCs w:val="21"/>
              </w:rPr>
              <w:t>菜单组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EAAAA"/>
            <w:vAlign w:val="center"/>
          </w:tcPr>
          <w:p>
            <w:pPr>
              <w:jc w:val="center"/>
              <w:rPr>
                <w:rFonts w:hAnsi="宋体" w:cs="Segoe UI"/>
                <w:b/>
                <w:bCs/>
                <w:sz w:val="21"/>
                <w:szCs w:val="21"/>
              </w:rPr>
            </w:pPr>
            <w:r>
              <w:rPr>
                <w:rFonts w:hAnsi="宋体" w:cs="Segoe UI"/>
                <w:b/>
                <w:bCs/>
                <w:sz w:val="21"/>
                <w:szCs w:val="21"/>
              </w:rPr>
              <w:t>菜单名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EAAAA"/>
            <w:vAlign w:val="center"/>
          </w:tcPr>
          <w:p>
            <w:pPr>
              <w:jc w:val="center"/>
              <w:rPr>
                <w:rFonts w:hAnsi="宋体" w:cs="Segoe UI"/>
                <w:b/>
                <w:bCs/>
                <w:sz w:val="21"/>
                <w:szCs w:val="21"/>
              </w:rPr>
            </w:pPr>
            <w:r>
              <w:rPr>
                <w:rFonts w:hAnsi="宋体" w:cs="Segoe UI"/>
                <w:b/>
                <w:bCs/>
                <w:sz w:val="21"/>
                <w:szCs w:val="21"/>
              </w:rPr>
              <w:t>功能描述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运营管理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客户卡管理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客户卡信息管理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对公司的所有充电客户卡进行统一管理，实现激活，冻结，接触冻结，指定使用人，作废，充电记录查询等操作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计费计价策略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定价策略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设定充电站对外定价的策略，制定的定价策略支持设置版本，周期等方式。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折扣策略设置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对维护好的折扣策略进行关联绑定操作，包括指定客户组，设置电站范围等。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终端包月策略管理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支持场站对外面向特定的客户提供终端包月功能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折扣策略管理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新增，查看和维护折扣策略信息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电站运营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客户组管理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支持将特定的个人和企业用户设置成特殊客户群体，用户绑定专属收费策略，实现差异化收费。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新建，编辑，调整和管理电站的基本信息，支持对电站的运营信息进行维护，包括开始运营，暂停运营，结算信息维护等。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公司客户查询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用于查询统计在该运营商的所属电站上充过电的个人用户信息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车辆管理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路线管理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对公交路线进行新增，删除，编辑等操作，支持将路线与车辆进行绑定配置，用于关联统计分析。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车辆信息一览表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支持对所属充电车辆信息进行导出分析。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车辆信息管理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用户通过此功能维护车辆信息，用于实现车充识别，车辆充电统计等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订单销售</w:t>
            </w: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订单管理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充电记录尖峰平谷信息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按运营公司，电站名称，充电开始时间，充电结束时间等维度统计尖峰平谷各个时间段的总电量和总电费，可按照电站，开始时间，结束时间等丰富的筛选查询条件，过滤输出充电记录尖峰平谷统计报表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车辆充电尖峰平谷统计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统计车辆的尖峰平谷充电记录，可按路线，按车架号，按车牌，按时间等条件查询，用于单车分析考核。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充电记录明细（全部）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该功能用于统计所有充电订单信息，包括充电中的订单和已完成的订单，还支持筛选出异常订单用于分析。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充电成功记录明细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提供充电明细统计报表，包括订单编号、状态、设备信息、用户信息、充电时长、充电策略、订单费用等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代金券管理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电子券申请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用于发起代金券申请业务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电子券申请审核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用于对代金券业务进行审核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电子券发放管理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用于对代金券进行个人或企业发放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电子券发放审核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用于对代金券发放进行审核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代金券管理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用于对代金券业务数据进行管理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代金券作废申请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对已生成的代金券进行作废处理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代金券作废申请审核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对已生成的代金券进行作废审核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发券组管理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定义发券组，方便用户发券时选择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开票管理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开票申请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用于处理用户发起的开票申请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发票管理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用于查看和管理开票记录数据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监控调度</w:t>
            </w: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场站监控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监控平台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通过地图的方式显示充电站的布局情况，对电站总体数据进行展示。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电站情况一览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可以查看电站的基本信息、电站汇总数据、电站终端实时状态等信息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电站实时监控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对电站实时数据进行监控，并通过图形化的方式展现每个充电终端实时参数。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充电调度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调度充电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通过调度充电的页面来实现对充电设施控制充电，支持手工，定时，智能等调度方式。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运维管理</w:t>
            </w: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运维管理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设备报文查看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查看设备上传平台的实时日志报文，便于定位分析问题。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充电实时状况监控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用于展示电站的充电实时状态，用于运维人员了解现状，合理安排运维任务。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运维工单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针对充电场站的故障情况，自动生成运维工单。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统计分析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业务分析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电站数据分析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对单个电站的运营情况进行分析，实现电站充电运营的汇总信息。包括充电次数日趋势分析、充电电量本月及上月日趋势分析、充电时长本月及上月日趋势分析、充电利用率本月及上月日趋势分析。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数据分析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充电功率分时分析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以充电站为检索条件，按时间维度分析功率变化情况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运维统计报表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终端状态明细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提供终端状态明细统计报表，包括终端编号、名称、状态，状态变化时间、数据收集时间、上报时间、数据延迟时长、集控器地址、集控名称、电站编号、电站名称、所属城市、终端型号、充电接口、充电功率等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电站失败率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提供电站失败率统计报表，包括电站详细信息、运营公司详细信息、终端详细信息、失败次数、失败率等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充电失败记录明细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提供充电失败明细统计报表，包括订单编号、状态、设备信息、用户信息、充电时长、时间等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设备故障信息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提供设备故障信息统计报表，包括电站编号、电站名称、集控器编号、名称、CAN地址、终端编号、名称、故障状态、故障发生时间、恢复时间、持续时间、恢复状态等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集控器离网信息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提供集控器其的离网信息统计，包括电站，集控器编号，名称，离线时间，上线时间等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运营统计报表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电站基本信息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提供电站详细信息查询统计，包括电站编号、名称、项目编号、所属城市、电站类型电站终端详情等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电站历史数据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统计展示电站基本信息、历史订单数据。并可以做充电量日趋势分析、充电时长日趋势分析、利用率日趋势分析。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电站运营状况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用于查询分析电站运营的运营汇总数据。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运营电站利用率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查看运营电站的充电利用率，包括时间利用率和功率利用率等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运营终端利用率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查看运营终端的充电利用率，包括时间利用率和功率利用率等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充电记录尖峰平谷信息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按运营公司，电站名称，充电开始时间，充电结束时间等维度统计尖峰平谷各个时间段的总电量和总电费，可按照电站，开始时间，结束时间等丰富的筛选查询条件，过滤输出充电记录尖峰平谷统计报表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车辆充电尖峰平谷统计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统计车辆的尖峰平谷充电记录，可按路线，按车架号，按车牌，按时间等条件查询，用于单车分析考核。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充电记录明细（全部）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该功能用于统计所有充电订单信息，包括充电中的订单和已完成的订单，还支持筛选出异常订单用于分析。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充电成功记录明细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提供充电明细统计报表，包括订单编号、状态、设备信息、用户信息、充电时长、充电策略、订单费用等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财务管理</w:t>
            </w: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账户管理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企业客户管理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支持企业客户的新增，编辑，人员管理等功能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企业账户一览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查看管理企业客户信息及账户余额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企业信用账户管理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开通管理信用的企业账户状态及额度。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企业信用额度设置审核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对申请开通信用的企业账户额度进行审核。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信用额度调整申请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查看进行信用额度调整申请的企业数据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企业信用额度调整审核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对申请调整信用额度的企业账户进行审核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财务管理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账户信息汇总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查看本公司所有账户的信息汇总数据，包括充值，消费，余额等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账户充值明细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此报表用来展示所有充值记录明细信息。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账户退款明细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查询所有账户的退款信息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订单扣费明细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用户查询每条订单的详细扣费信息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账单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查看企业信用账户消费情况及生成的账单信息。并可以发起还款、查看收款单、发送邮件通知以及核销账单等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个人收退款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个人充值退款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运营人员可以通过这个功能处理针对个人账户发起充值和退款申请，并根据申请的结果来完成充值和退款操作。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个人充值管理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对个人充值订单进行管理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个人充值审核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对个人充值订单进行审核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个人充值记账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对个人充值订单进行记账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个人退款管理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对个人退款订单进行管理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个人退款审核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对个人退款订单进行审核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个人退款记账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对个人退款订单进行记账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企业收退款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企业充值退款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运营人员可以通过这个功能处理针对企业账户发起充值和退款申请，并根据申请的结果来完成充值和退款操作。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企业充值管理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对企业充值订单进行管理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企业充值审核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对企业充值订单进行审核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企业充值记账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对企业充值订单进行记账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企业退款管理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对企业退款订单进行管理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企业退款审核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对企业退款订单进行审核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企业退款记账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对企业退款订单进行记账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大数据平台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大数据分析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主动防护分析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利用大数据分析技术，根据充电企业，汽车大类，品牌及车型等不同的维度，按时间统计出的总订单数，主动防护及异常中止订单数，订单占比等。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App管理</w:t>
            </w: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App管理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终端运营配置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维护app端新闻及轮播图信息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系统消息管理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管理向客户端发送系统消息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反馈内容管理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处理用户反馈的信息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电站评论管理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管理和维护充电用户对电站的评论信息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118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Segoe UI"/>
                <w:sz w:val="21"/>
                <w:szCs w:val="21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私信组管理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管理和查看充电用户间的私信内容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系统管理</w:t>
            </w:r>
          </w:p>
        </w:tc>
        <w:tc>
          <w:tcPr>
            <w:tcW w:w="11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系统管理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商户信息管理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Ansi="宋体" w:cs="Segoe UI"/>
                <w:sz w:val="21"/>
                <w:szCs w:val="21"/>
              </w:rPr>
              <w:t>管理和维护商户下的平台用户权限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互联互通</w:t>
            </w:r>
          </w:p>
        </w:tc>
        <w:tc>
          <w:tcPr>
            <w:tcW w:w="11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\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\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Segoe UI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按照T／CEC 102.2-2016《电动汽车充换电服务信息交换》标准实现与第三方平台的数据互联互通。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E808D0"/>
    <w:multiLevelType w:val="multilevel"/>
    <w:tmpl w:val="45E808D0"/>
    <w:lvl w:ilvl="0" w:tentative="0">
      <w:start w:val="1"/>
      <w:numFmt w:val="chineseCountingThousand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8"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pStyle w:val="9"/>
      <w:suff w:val="space"/>
      <w:lvlText w:val="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pStyle w:val="10"/>
      <w:suff w:val="space"/>
      <w:lvlText w:val="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linkStyl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ZiOTRjZWFmNGE5MjVjNjg2MjBlZGNmN2NmNTY3MmIifQ=="/>
  </w:docVars>
  <w:rsids>
    <w:rsidRoot w:val="007541DD"/>
    <w:rsid w:val="001170B1"/>
    <w:rsid w:val="001648F9"/>
    <w:rsid w:val="002005C9"/>
    <w:rsid w:val="00237C65"/>
    <w:rsid w:val="00423A3D"/>
    <w:rsid w:val="00451336"/>
    <w:rsid w:val="0058075B"/>
    <w:rsid w:val="006B4667"/>
    <w:rsid w:val="006F5903"/>
    <w:rsid w:val="007064AE"/>
    <w:rsid w:val="00732F05"/>
    <w:rsid w:val="007541DD"/>
    <w:rsid w:val="0078442A"/>
    <w:rsid w:val="008B3F5C"/>
    <w:rsid w:val="008D539A"/>
    <w:rsid w:val="008E0F9B"/>
    <w:rsid w:val="00A8225E"/>
    <w:rsid w:val="00B521CA"/>
    <w:rsid w:val="00B62FB7"/>
    <w:rsid w:val="00C95384"/>
    <w:rsid w:val="00CB525D"/>
    <w:rsid w:val="00CF27E4"/>
    <w:rsid w:val="00D10D95"/>
    <w:rsid w:val="00D611A1"/>
    <w:rsid w:val="00DD456B"/>
    <w:rsid w:val="00E0212A"/>
    <w:rsid w:val="00F06280"/>
    <w:rsid w:val="00F71C63"/>
    <w:rsid w:val="00FF22A7"/>
    <w:rsid w:val="010827C0"/>
    <w:rsid w:val="12D04183"/>
    <w:rsid w:val="18054B4E"/>
    <w:rsid w:val="4497554F"/>
    <w:rsid w:val="4D311508"/>
    <w:rsid w:val="71A4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eastAsia="宋体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link w:val="37"/>
    <w:qFormat/>
    <w:uiPriority w:val="9"/>
    <w:pPr>
      <w:keepNext/>
      <w:keepLines/>
      <w:numPr>
        <w:ilvl w:val="0"/>
        <w:numId w:val="1"/>
      </w:numPr>
      <w:spacing w:before="120" w:after="120" w:line="360" w:lineRule="auto"/>
      <w:outlineLvl w:val="0"/>
    </w:pPr>
    <w:rPr>
      <w:rFonts w:ascii="黑体"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8"/>
    <w:unhideWhenUsed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ascii="黑体" w:eastAsia="黑体" w:hAnsiTheme="majorHAnsi" w:cstheme="majorBidi"/>
      <w:b/>
      <w:bCs/>
      <w:sz w:val="32"/>
      <w:szCs w:val="32"/>
    </w:rPr>
  </w:style>
  <w:style w:type="paragraph" w:styleId="4">
    <w:name w:val="heading 3"/>
    <w:basedOn w:val="1"/>
    <w:link w:val="39"/>
    <w:unhideWhenUsed/>
    <w:qFormat/>
    <w:uiPriority w:val="9"/>
    <w:pPr>
      <w:keepNext/>
      <w:keepLines/>
      <w:numPr>
        <w:ilvl w:val="2"/>
        <w:numId w:val="1"/>
      </w:numPr>
      <w:spacing w:line="360" w:lineRule="auto"/>
      <w:outlineLvl w:val="2"/>
    </w:pPr>
    <w:rPr>
      <w:b/>
      <w:bCs/>
      <w:sz w:val="28"/>
      <w:szCs w:val="32"/>
    </w:rPr>
  </w:style>
  <w:style w:type="paragraph" w:styleId="5">
    <w:name w:val="heading 4"/>
    <w:basedOn w:val="1"/>
    <w:link w:val="40"/>
    <w:unhideWhenUsed/>
    <w:qFormat/>
    <w:uiPriority w:val="9"/>
    <w:pPr>
      <w:keepNext/>
      <w:keepLines/>
      <w:numPr>
        <w:ilvl w:val="3"/>
        <w:numId w:val="1"/>
      </w:numPr>
      <w:spacing w:line="360" w:lineRule="auto"/>
      <w:outlineLvl w:val="3"/>
    </w:pPr>
    <w:rPr>
      <w:rFonts w:hAnsiTheme="majorHAnsi" w:cstheme="majorBidi"/>
      <w:b/>
      <w:bCs/>
      <w:sz w:val="28"/>
      <w:szCs w:val="28"/>
    </w:rPr>
  </w:style>
  <w:style w:type="paragraph" w:styleId="6">
    <w:name w:val="heading 5"/>
    <w:basedOn w:val="1"/>
    <w:link w:val="41"/>
    <w:unhideWhenUsed/>
    <w:qFormat/>
    <w:uiPriority w:val="9"/>
    <w:pPr>
      <w:keepNext/>
      <w:keepLines/>
      <w:numPr>
        <w:ilvl w:val="4"/>
        <w:numId w:val="1"/>
      </w:numPr>
      <w:spacing w:line="360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link w:val="42"/>
    <w:unhideWhenUsed/>
    <w:qFormat/>
    <w:uiPriority w:val="9"/>
    <w:pPr>
      <w:keepNext/>
      <w:keepLines/>
      <w:numPr>
        <w:ilvl w:val="5"/>
        <w:numId w:val="1"/>
      </w:numPr>
      <w:spacing w:line="360" w:lineRule="auto"/>
      <w:outlineLvl w:val="5"/>
    </w:pPr>
    <w:rPr>
      <w:rFonts w:hAnsiTheme="majorHAnsi" w:cstheme="majorBidi"/>
      <w:b/>
      <w:bCs/>
      <w:sz w:val="28"/>
      <w:szCs w:val="24"/>
    </w:rPr>
  </w:style>
  <w:style w:type="paragraph" w:styleId="8">
    <w:name w:val="heading 7"/>
    <w:basedOn w:val="1"/>
    <w:link w:val="43"/>
    <w:unhideWhenUsed/>
    <w:qFormat/>
    <w:uiPriority w:val="9"/>
    <w:pPr>
      <w:keepNext/>
      <w:keepLines/>
      <w:numPr>
        <w:ilvl w:val="6"/>
        <w:numId w:val="1"/>
      </w:numPr>
      <w:spacing w:line="360" w:lineRule="auto"/>
      <w:outlineLvl w:val="6"/>
    </w:pPr>
    <w:rPr>
      <w:b/>
      <w:bCs/>
      <w:sz w:val="28"/>
      <w:szCs w:val="24"/>
    </w:rPr>
  </w:style>
  <w:style w:type="paragraph" w:styleId="9">
    <w:name w:val="heading 8"/>
    <w:basedOn w:val="1"/>
    <w:link w:val="44"/>
    <w:unhideWhenUsed/>
    <w:qFormat/>
    <w:uiPriority w:val="9"/>
    <w:pPr>
      <w:keepNext/>
      <w:keepLines/>
      <w:numPr>
        <w:ilvl w:val="7"/>
        <w:numId w:val="1"/>
      </w:numPr>
      <w:spacing w:line="360" w:lineRule="auto"/>
      <w:outlineLvl w:val="7"/>
    </w:pPr>
    <w:rPr>
      <w:rFonts w:hAnsiTheme="majorHAnsi" w:cstheme="majorBidi"/>
      <w:b/>
      <w:sz w:val="28"/>
      <w:szCs w:val="24"/>
    </w:rPr>
  </w:style>
  <w:style w:type="paragraph" w:styleId="10">
    <w:name w:val="heading 9"/>
    <w:basedOn w:val="1"/>
    <w:link w:val="45"/>
    <w:unhideWhenUsed/>
    <w:qFormat/>
    <w:uiPriority w:val="9"/>
    <w:pPr>
      <w:keepNext/>
      <w:keepLines/>
      <w:numPr>
        <w:ilvl w:val="8"/>
        <w:numId w:val="1"/>
      </w:numPr>
      <w:spacing w:line="360" w:lineRule="auto"/>
      <w:outlineLvl w:val="8"/>
    </w:pPr>
    <w:rPr>
      <w:rFonts w:hAnsiTheme="majorHAnsi" w:cstheme="majorBidi"/>
      <w:b/>
      <w:sz w:val="28"/>
      <w:szCs w:val="21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hAnsi="宋体" w:cs="宋体"/>
      <w:kern w:val="0"/>
      <w:szCs w:val="24"/>
    </w:rPr>
  </w:style>
  <w:style w:type="table" w:styleId="15">
    <w:name w:val="Table Grid"/>
    <w:basedOn w:val="1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line number"/>
    <w:basedOn w:val="16"/>
    <w:semiHidden/>
    <w:unhideWhenUsed/>
    <w:qFormat/>
    <w:uiPriority w:val="99"/>
  </w:style>
  <w:style w:type="character" w:styleId="18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页眉 Char"/>
    <w:basedOn w:val="16"/>
    <w:qFormat/>
    <w:uiPriority w:val="99"/>
    <w:rPr>
      <w:rFonts w:ascii="宋体" w:eastAsia="宋体"/>
      <w:sz w:val="18"/>
      <w:szCs w:val="18"/>
    </w:rPr>
  </w:style>
  <w:style w:type="character" w:customStyle="1" w:styleId="20">
    <w:name w:val="页脚 Char"/>
    <w:basedOn w:val="16"/>
    <w:qFormat/>
    <w:uiPriority w:val="99"/>
    <w:rPr>
      <w:rFonts w:ascii="宋体" w:eastAsia="宋体"/>
      <w:sz w:val="18"/>
      <w:szCs w:val="18"/>
    </w:rPr>
  </w:style>
  <w:style w:type="character" w:customStyle="1" w:styleId="21">
    <w:name w:val="标题 1 Char"/>
    <w:basedOn w:val="16"/>
    <w:qFormat/>
    <w:uiPriority w:val="9"/>
    <w:rPr>
      <w:rFonts w:ascii="黑体" w:eastAsia="黑体"/>
      <w:b/>
      <w:bCs/>
      <w:kern w:val="44"/>
      <w:sz w:val="32"/>
      <w:szCs w:val="44"/>
    </w:rPr>
  </w:style>
  <w:style w:type="character" w:customStyle="1" w:styleId="22">
    <w:name w:val="标题 2 Char"/>
    <w:basedOn w:val="16"/>
    <w:qFormat/>
    <w:uiPriority w:val="9"/>
    <w:rPr>
      <w:rFonts w:ascii="黑体" w:eastAsia="黑体" w:hAnsiTheme="majorHAnsi" w:cstheme="majorBidi"/>
      <w:b/>
      <w:bCs/>
      <w:sz w:val="32"/>
      <w:szCs w:val="32"/>
    </w:rPr>
  </w:style>
  <w:style w:type="character" w:customStyle="1" w:styleId="23">
    <w:name w:val="标题 3 Char"/>
    <w:basedOn w:val="16"/>
    <w:qFormat/>
    <w:uiPriority w:val="9"/>
    <w:rPr>
      <w:rFonts w:ascii="宋体" w:eastAsia="宋体"/>
      <w:b/>
      <w:bCs/>
      <w:sz w:val="28"/>
      <w:szCs w:val="32"/>
    </w:rPr>
  </w:style>
  <w:style w:type="character" w:customStyle="1" w:styleId="24">
    <w:name w:val="标题 4 Char"/>
    <w:basedOn w:val="16"/>
    <w:qFormat/>
    <w:uiPriority w:val="9"/>
    <w:rPr>
      <w:rFonts w:ascii="宋体" w:eastAsia="宋体" w:hAnsiTheme="majorHAnsi" w:cstheme="majorBidi"/>
      <w:b/>
      <w:bCs/>
      <w:sz w:val="28"/>
      <w:szCs w:val="28"/>
    </w:rPr>
  </w:style>
  <w:style w:type="character" w:customStyle="1" w:styleId="25">
    <w:name w:val="标题 5 Char"/>
    <w:basedOn w:val="16"/>
    <w:qFormat/>
    <w:uiPriority w:val="9"/>
    <w:rPr>
      <w:rFonts w:ascii="宋体" w:eastAsia="宋体"/>
      <w:b/>
      <w:bCs/>
      <w:sz w:val="28"/>
      <w:szCs w:val="28"/>
    </w:rPr>
  </w:style>
  <w:style w:type="character" w:customStyle="1" w:styleId="26">
    <w:name w:val="标题 6 Char"/>
    <w:basedOn w:val="16"/>
    <w:qFormat/>
    <w:uiPriority w:val="9"/>
    <w:rPr>
      <w:rFonts w:ascii="宋体" w:eastAsia="宋体" w:hAnsiTheme="majorHAnsi" w:cstheme="majorBidi"/>
      <w:b/>
      <w:bCs/>
      <w:sz w:val="28"/>
      <w:szCs w:val="24"/>
    </w:rPr>
  </w:style>
  <w:style w:type="character" w:customStyle="1" w:styleId="27">
    <w:name w:val="标题 7 Char"/>
    <w:basedOn w:val="16"/>
    <w:qFormat/>
    <w:uiPriority w:val="9"/>
    <w:rPr>
      <w:rFonts w:ascii="宋体" w:eastAsia="宋体"/>
      <w:b/>
      <w:bCs/>
      <w:sz w:val="28"/>
      <w:szCs w:val="24"/>
    </w:rPr>
  </w:style>
  <w:style w:type="character" w:customStyle="1" w:styleId="28">
    <w:name w:val="标题 8 Char"/>
    <w:basedOn w:val="16"/>
    <w:qFormat/>
    <w:uiPriority w:val="9"/>
    <w:rPr>
      <w:rFonts w:ascii="宋体" w:eastAsia="宋体" w:hAnsiTheme="majorHAnsi" w:cstheme="majorBidi"/>
      <w:b/>
      <w:sz w:val="28"/>
      <w:szCs w:val="24"/>
    </w:rPr>
  </w:style>
  <w:style w:type="character" w:customStyle="1" w:styleId="29">
    <w:name w:val="标题 9 Char"/>
    <w:basedOn w:val="16"/>
    <w:qFormat/>
    <w:uiPriority w:val="9"/>
    <w:rPr>
      <w:rFonts w:ascii="宋体" w:eastAsia="宋体" w:hAnsiTheme="majorHAnsi" w:cstheme="majorBidi"/>
      <w:b/>
      <w:sz w:val="28"/>
      <w:szCs w:val="21"/>
    </w:rPr>
  </w:style>
  <w:style w:type="character" w:customStyle="1" w:styleId="30">
    <w:name w:val="未处理的提及1"/>
    <w:basedOn w:val="16"/>
    <w:semiHidden/>
    <w:unhideWhenUsed/>
    <w:qFormat/>
    <w:uiPriority w:val="99"/>
    <w:rPr>
      <w:color w:val="808080"/>
      <w:shd w:val="clear" w:color="auto" w:fill="E6E6E6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paragraph" w:customStyle="1" w:styleId="32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Cs w:val="24"/>
    </w:rPr>
  </w:style>
  <w:style w:type="table" w:customStyle="1" w:styleId="33">
    <w:name w:val="Table Normal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4">
    <w:name w:val="页眉 字符"/>
    <w:basedOn w:val="16"/>
    <w:link w:val="12"/>
    <w:qFormat/>
    <w:uiPriority w:val="99"/>
    <w:rPr>
      <w:rFonts w:ascii="宋体" w:eastAsia="宋体"/>
      <w:sz w:val="18"/>
      <w:szCs w:val="18"/>
    </w:rPr>
  </w:style>
  <w:style w:type="character" w:customStyle="1" w:styleId="35">
    <w:name w:val="页脚 字符"/>
    <w:basedOn w:val="16"/>
    <w:link w:val="11"/>
    <w:qFormat/>
    <w:uiPriority w:val="99"/>
    <w:rPr>
      <w:rFonts w:ascii="宋体" w:eastAsia="宋体"/>
      <w:sz w:val="18"/>
      <w:szCs w:val="18"/>
    </w:rPr>
  </w:style>
  <w:style w:type="character" w:customStyle="1" w:styleId="36">
    <w:name w:val="Unresolved Mention"/>
    <w:basedOn w:val="16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37">
    <w:name w:val="标题 1 字符"/>
    <w:basedOn w:val="16"/>
    <w:link w:val="2"/>
    <w:qFormat/>
    <w:uiPriority w:val="9"/>
    <w:rPr>
      <w:rFonts w:ascii="黑体" w:eastAsia="黑体"/>
      <w:b/>
      <w:bCs/>
      <w:kern w:val="44"/>
      <w:sz w:val="32"/>
      <w:szCs w:val="44"/>
    </w:rPr>
  </w:style>
  <w:style w:type="character" w:customStyle="1" w:styleId="38">
    <w:name w:val="标题 2 字符"/>
    <w:basedOn w:val="16"/>
    <w:link w:val="3"/>
    <w:qFormat/>
    <w:uiPriority w:val="9"/>
    <w:rPr>
      <w:rFonts w:ascii="黑体" w:eastAsia="黑体" w:hAnsiTheme="majorHAnsi" w:cstheme="majorBidi"/>
      <w:b/>
      <w:bCs/>
      <w:sz w:val="32"/>
      <w:szCs w:val="32"/>
    </w:rPr>
  </w:style>
  <w:style w:type="character" w:customStyle="1" w:styleId="39">
    <w:name w:val="标题 3 字符"/>
    <w:basedOn w:val="16"/>
    <w:link w:val="4"/>
    <w:qFormat/>
    <w:uiPriority w:val="9"/>
    <w:rPr>
      <w:rFonts w:ascii="宋体" w:eastAsia="宋体"/>
      <w:b/>
      <w:bCs/>
      <w:sz w:val="28"/>
      <w:szCs w:val="32"/>
    </w:rPr>
  </w:style>
  <w:style w:type="character" w:customStyle="1" w:styleId="40">
    <w:name w:val="标题 4 字符"/>
    <w:basedOn w:val="16"/>
    <w:link w:val="5"/>
    <w:qFormat/>
    <w:uiPriority w:val="9"/>
    <w:rPr>
      <w:rFonts w:ascii="宋体" w:eastAsia="宋体" w:hAnsiTheme="majorHAnsi" w:cstheme="majorBidi"/>
      <w:b/>
      <w:bCs/>
      <w:sz w:val="28"/>
      <w:szCs w:val="28"/>
    </w:rPr>
  </w:style>
  <w:style w:type="character" w:customStyle="1" w:styleId="41">
    <w:name w:val="标题 5 字符"/>
    <w:basedOn w:val="16"/>
    <w:link w:val="6"/>
    <w:qFormat/>
    <w:uiPriority w:val="9"/>
    <w:rPr>
      <w:rFonts w:ascii="宋体" w:eastAsia="宋体"/>
      <w:b/>
      <w:bCs/>
      <w:sz w:val="28"/>
      <w:szCs w:val="28"/>
    </w:rPr>
  </w:style>
  <w:style w:type="character" w:customStyle="1" w:styleId="42">
    <w:name w:val="标题 6 字符"/>
    <w:basedOn w:val="16"/>
    <w:link w:val="7"/>
    <w:qFormat/>
    <w:uiPriority w:val="9"/>
    <w:rPr>
      <w:rFonts w:ascii="宋体" w:eastAsia="宋体" w:hAnsiTheme="majorHAnsi" w:cstheme="majorBidi"/>
      <w:b/>
      <w:bCs/>
      <w:sz w:val="28"/>
      <w:szCs w:val="24"/>
    </w:rPr>
  </w:style>
  <w:style w:type="character" w:customStyle="1" w:styleId="43">
    <w:name w:val="标题 7 字符"/>
    <w:basedOn w:val="16"/>
    <w:link w:val="8"/>
    <w:qFormat/>
    <w:uiPriority w:val="9"/>
    <w:rPr>
      <w:rFonts w:ascii="宋体" w:eastAsia="宋体"/>
      <w:b/>
      <w:bCs/>
      <w:sz w:val="28"/>
      <w:szCs w:val="24"/>
    </w:rPr>
  </w:style>
  <w:style w:type="character" w:customStyle="1" w:styleId="44">
    <w:name w:val="标题 8 字符"/>
    <w:basedOn w:val="16"/>
    <w:link w:val="9"/>
    <w:qFormat/>
    <w:uiPriority w:val="9"/>
    <w:rPr>
      <w:rFonts w:ascii="宋体" w:eastAsia="宋体" w:hAnsiTheme="majorHAnsi" w:cstheme="majorBidi"/>
      <w:b/>
      <w:sz w:val="28"/>
      <w:szCs w:val="24"/>
    </w:rPr>
  </w:style>
  <w:style w:type="character" w:customStyle="1" w:styleId="45">
    <w:name w:val="标题 9 字符"/>
    <w:basedOn w:val="16"/>
    <w:link w:val="10"/>
    <w:qFormat/>
    <w:uiPriority w:val="9"/>
    <w:rPr>
      <w:rFonts w:ascii="宋体" w:eastAsia="宋体" w:hAnsiTheme="majorHAnsi" w:cstheme="majorBidi"/>
      <w:b/>
      <w:sz w:val="28"/>
      <w:szCs w:val="21"/>
    </w:rPr>
  </w:style>
  <w:style w:type="paragraph" w:customStyle="1" w:styleId="46">
    <w:name w:val="正文C"/>
    <w:basedOn w:val="1"/>
    <w:qFormat/>
    <w:uiPriority w:val="0"/>
    <w:pPr>
      <w:spacing w:line="360" w:lineRule="auto"/>
      <w:ind w:firstLine="420" w:firstLineChars="200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4945;&#26093;\AppData\Roaming\Microsoft\Templates\&#29305;&#26469;&#30005;&#25237;&#26631;&#25991;&#20214;&#27169;&#26495;V2.0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特来电投标文件模板V2.0</Template>
  <Company>P R C</Company>
  <Pages>2</Pages>
  <Words>116</Words>
  <Characters>666</Characters>
  <Lines>5</Lines>
  <Paragraphs>1</Paragraphs>
  <TotalTime>2</TotalTime>
  <ScaleCrop>false</ScaleCrop>
  <LinksUpToDate>false</LinksUpToDate>
  <CharactersWithSpaces>781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2023-03-20T05:48:00Z</dcterms:created>
  <dc:creator>Windows User</dc:creator>
  <cp:lastModifiedBy>村子</cp:lastModifiedBy>
  <dcterms:modified xsi:type="dcterms:W3CDTF">2023-10-31T06:40:02Z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CA212585920448FFA20515B089C5EB89_12</vt:lpwstr>
  </property>
</Properties>
</file>