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36"/>
          <w:szCs w:val="36"/>
          <w:u w:val="none"/>
          <w:lang w:val="en-US" w:eastAsia="zh-CN"/>
        </w:rPr>
      </w:pPr>
      <w:r>
        <w:rPr>
          <w:rFonts w:hint="eastAsia" w:ascii="仿宋" w:hAnsi="仿宋" w:eastAsia="仿宋" w:cs="仿宋"/>
          <w:b/>
          <w:sz w:val="36"/>
          <w:szCs w:val="36"/>
          <w:u w:val="none"/>
          <w:lang w:val="en-US" w:eastAsia="zh-CN"/>
        </w:rPr>
        <w:t>会昌县中心城区保障性租赁住房改造项目</w:t>
      </w:r>
    </w:p>
    <w:p>
      <w:pPr>
        <w:jc w:val="center"/>
        <w:rPr>
          <w:rFonts w:hint="eastAsia" w:ascii="仿宋" w:hAnsi="仿宋" w:eastAsia="仿宋" w:cs="仿宋"/>
          <w:b/>
          <w:bCs/>
          <w:sz w:val="36"/>
          <w:szCs w:val="36"/>
          <w:lang w:val="en-US" w:eastAsia="zh-CN"/>
        </w:rPr>
      </w:pPr>
      <w:r>
        <w:rPr>
          <w:rFonts w:hint="eastAsia" w:ascii="仿宋" w:hAnsi="仿宋" w:eastAsia="仿宋" w:cs="仿宋"/>
          <w:b/>
          <w:sz w:val="36"/>
          <w:szCs w:val="36"/>
          <w:u w:val="none"/>
          <w:lang w:val="en-US" w:eastAsia="zh-CN"/>
        </w:rPr>
        <w:t>房屋安全鉴定</w:t>
      </w:r>
      <w:r>
        <w:rPr>
          <w:rFonts w:hint="eastAsia" w:ascii="仿宋" w:hAnsi="仿宋" w:eastAsia="仿宋" w:cs="仿宋"/>
          <w:b/>
          <w:sz w:val="36"/>
          <w:szCs w:val="36"/>
          <w:u w:val="none"/>
          <w:lang w:eastAsia="zh-CN"/>
        </w:rPr>
        <w:t>询价发包挂网公告</w:t>
      </w:r>
    </w:p>
    <w:p>
      <w:pPr>
        <w:jc w:val="lef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一、投标人须知</w:t>
      </w:r>
    </w:p>
    <w:tbl>
      <w:tblPr>
        <w:tblStyle w:val="7"/>
        <w:tblpPr w:leftFromText="180" w:rightFromText="180" w:vertAnchor="text" w:horzAnchor="page" w:tblpX="1462" w:tblpY="60"/>
        <w:tblOverlap w:val="never"/>
        <w:tblW w:w="95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629"/>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46" w:type="dxa"/>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项号</w:t>
            </w:r>
          </w:p>
        </w:tc>
        <w:tc>
          <w:tcPr>
            <w:tcW w:w="1629" w:type="dxa"/>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内 容</w:t>
            </w:r>
          </w:p>
        </w:tc>
        <w:tc>
          <w:tcPr>
            <w:tcW w:w="7020" w:type="dxa"/>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招标人</w:t>
            </w:r>
          </w:p>
        </w:tc>
        <w:tc>
          <w:tcPr>
            <w:tcW w:w="7020" w:type="dxa"/>
            <w:vAlign w:val="center"/>
          </w:tcPr>
          <w:p>
            <w:pPr>
              <w:jc w:val="center"/>
              <w:rPr>
                <w:rFonts w:hint="eastAsia"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eastAsia="zh-CN"/>
              </w:rPr>
              <w:t>会昌县恒茂建设发展集团有限责任公司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2</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项目名称</w:t>
            </w:r>
          </w:p>
        </w:tc>
        <w:tc>
          <w:tcPr>
            <w:tcW w:w="7020" w:type="dxa"/>
            <w:vAlign w:val="center"/>
          </w:tcPr>
          <w:p>
            <w:pPr>
              <w:jc w:val="center"/>
              <w:rPr>
                <w:rFonts w:hint="default" w:ascii="仿宋" w:hAnsi="仿宋" w:eastAsia="仿宋_GB2312" w:cs="仿宋"/>
                <w:b w:val="0"/>
                <w:bCs w:val="0"/>
                <w:sz w:val="30"/>
                <w:szCs w:val="30"/>
                <w:vertAlign w:val="baseline"/>
                <w:lang w:val="en-US" w:eastAsia="zh-CN"/>
              </w:rPr>
            </w:pPr>
            <w:r>
              <w:rPr>
                <w:rFonts w:hint="eastAsia" w:ascii="仿宋_GB2312" w:hAnsi="仿宋_GB2312" w:eastAsia="仿宋_GB2312" w:cs="仿宋_GB2312"/>
                <w:sz w:val="32"/>
                <w:szCs w:val="32"/>
                <w:lang w:val="en-US" w:eastAsia="zh-CN"/>
              </w:rPr>
              <w:t>会昌县中心城区保障性租赁住房改造项目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3</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项目地点</w:t>
            </w:r>
          </w:p>
        </w:tc>
        <w:tc>
          <w:tcPr>
            <w:tcW w:w="7020" w:type="dxa"/>
            <w:vAlign w:val="center"/>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会昌县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4</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招标范围</w:t>
            </w:r>
          </w:p>
        </w:tc>
        <w:tc>
          <w:tcPr>
            <w:tcW w:w="7020" w:type="dxa"/>
            <w:vAlign w:val="center"/>
          </w:tcPr>
          <w:p>
            <w:pPr>
              <w:jc w:val="center"/>
              <w:rPr>
                <w:rFonts w:hint="eastAsia" w:ascii="仿宋" w:hAnsi="仿宋" w:eastAsia="仿宋" w:cs="仿宋"/>
                <w:b w:val="0"/>
                <w:bCs/>
                <w:sz w:val="30"/>
                <w:szCs w:val="30"/>
                <w:u w:val="none"/>
                <w:lang w:val="en-US" w:eastAsia="zh-CN"/>
              </w:rPr>
            </w:pPr>
            <w:r>
              <w:rPr>
                <w:rFonts w:hint="eastAsia" w:ascii="仿宋" w:hAnsi="仿宋" w:eastAsia="仿宋" w:cs="仿宋"/>
                <w:b w:val="0"/>
                <w:bCs/>
                <w:sz w:val="30"/>
                <w:szCs w:val="30"/>
                <w:u w:val="none"/>
                <w:lang w:val="en-US" w:eastAsia="zh-CN"/>
              </w:rPr>
              <w:t>会昌县中心城区保障性租赁住房改造项目</w:t>
            </w:r>
          </w:p>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sz w:val="30"/>
                <w:szCs w:val="30"/>
                <w:u w:val="none"/>
                <w:lang w:val="en-US" w:eastAsia="zh-CN"/>
              </w:rPr>
              <w:t>房屋安全鉴定</w:t>
            </w:r>
            <w:r>
              <w:rPr>
                <w:rFonts w:hint="eastAsia" w:ascii="仿宋" w:hAnsi="仿宋" w:eastAsia="仿宋" w:cs="仿宋"/>
                <w:b w:val="0"/>
                <w:bCs w:val="0"/>
                <w:sz w:val="30"/>
                <w:szCs w:val="30"/>
                <w:vertAlign w:val="baseline"/>
                <w:lang w:val="en-US" w:eastAsia="zh-CN"/>
              </w:rPr>
              <w:t>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5</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资金来源</w:t>
            </w:r>
          </w:p>
        </w:tc>
        <w:tc>
          <w:tcPr>
            <w:tcW w:w="7020"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sz w:val="30"/>
                <w:szCs w:val="30"/>
                <w:u w:val="none"/>
              </w:rPr>
              <w:t>中央财政城镇保障性安居工程补助资金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6</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要求</w:t>
            </w:r>
          </w:p>
        </w:tc>
        <w:tc>
          <w:tcPr>
            <w:tcW w:w="7020" w:type="dxa"/>
            <w:vAlign w:val="center"/>
          </w:tcPr>
          <w:p>
            <w:pPr>
              <w:numPr>
                <w:ilvl w:val="0"/>
                <w:numId w:val="0"/>
              </w:numPr>
              <w:ind w:firstLine="600" w:firstLineChars="200"/>
              <w:jc w:val="both"/>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按有关技术规范、导则、标准出具符合国家标准的房屋安全鉴定报告。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7</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工期要求</w:t>
            </w:r>
          </w:p>
        </w:tc>
        <w:tc>
          <w:tcPr>
            <w:tcW w:w="7020" w:type="dxa"/>
            <w:vAlign w:val="center"/>
          </w:tcPr>
          <w:p>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val="0"/>
                <w:bCs w:val="0"/>
                <w:sz w:val="30"/>
                <w:szCs w:val="30"/>
                <w:vertAlign w:val="baseline"/>
                <w:lang w:val="en-US" w:eastAsia="zh-CN"/>
              </w:rPr>
              <w:t>总工期30天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8</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报名时间</w:t>
            </w:r>
          </w:p>
        </w:tc>
        <w:tc>
          <w:tcPr>
            <w:tcW w:w="7020" w:type="dxa"/>
            <w:vAlign w:val="center"/>
          </w:tcPr>
          <w:p>
            <w:pPr>
              <w:jc w:val="center"/>
              <w:rPr>
                <w:rFonts w:hint="eastAsia" w:ascii="仿宋" w:hAnsi="仿宋" w:eastAsia="仿宋" w:cs="仿宋"/>
                <w:b w:val="0"/>
                <w:bCs w:val="0"/>
                <w:color w:val="FF0000"/>
                <w:sz w:val="30"/>
                <w:szCs w:val="30"/>
                <w:vertAlign w:val="baseline"/>
                <w:lang w:val="en-US" w:eastAsia="zh-CN"/>
              </w:rPr>
            </w:pPr>
            <w:r>
              <w:rPr>
                <w:rFonts w:hint="eastAsia" w:ascii="仿宋" w:hAnsi="仿宋" w:eastAsia="仿宋" w:cs="仿宋"/>
                <w:b w:val="0"/>
                <w:bCs w:val="0"/>
                <w:color w:val="000000"/>
                <w:sz w:val="30"/>
                <w:szCs w:val="30"/>
                <w:vertAlign w:val="baseline"/>
                <w:lang w:val="en-US" w:eastAsia="zh-CN"/>
              </w:rPr>
              <w:t>2023年9月19日至2023年9月22日下午3点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46" w:type="dxa"/>
            <w:vAlign w:val="center"/>
          </w:tcPr>
          <w:p>
            <w:pPr>
              <w:spacing w:line="480" w:lineRule="auto"/>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9</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付款方式</w:t>
            </w:r>
          </w:p>
        </w:tc>
        <w:tc>
          <w:tcPr>
            <w:tcW w:w="7020" w:type="dxa"/>
            <w:vAlign w:val="center"/>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完成</w:t>
            </w:r>
            <w:r>
              <w:rPr>
                <w:rFonts w:hint="eastAsia" w:ascii="仿宋" w:hAnsi="仿宋" w:eastAsia="仿宋" w:cs="仿宋"/>
                <w:b w:val="0"/>
                <w:bCs/>
                <w:color w:val="000000"/>
                <w:sz w:val="30"/>
                <w:szCs w:val="30"/>
                <w:lang w:eastAsia="zh-CN"/>
              </w:rPr>
              <w:t>所有房屋建筑面积测量、改造前和改造后两次房屋安全鉴定、出具符合国家标准的</w:t>
            </w:r>
            <w:r>
              <w:rPr>
                <w:rFonts w:hint="eastAsia" w:ascii="仿宋" w:hAnsi="仿宋" w:eastAsia="仿宋" w:cs="仿宋"/>
                <w:b w:val="0"/>
                <w:bCs w:val="0"/>
                <w:sz w:val="30"/>
                <w:szCs w:val="30"/>
                <w:vertAlign w:val="baseline"/>
                <w:lang w:val="en-US" w:eastAsia="zh-CN"/>
              </w:rPr>
              <w:t>房屋安全鉴定报告后一年内支付。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46" w:type="dxa"/>
            <w:vAlign w:val="center"/>
          </w:tcPr>
          <w:p>
            <w:pPr>
              <w:jc w:val="center"/>
              <w:rPr>
                <w:rFonts w:hint="eastAsia"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10</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计价方式</w:t>
            </w:r>
          </w:p>
        </w:tc>
        <w:tc>
          <w:tcPr>
            <w:tcW w:w="7020" w:type="dxa"/>
            <w:vAlign w:val="center"/>
          </w:tcPr>
          <w:p>
            <w:pPr>
              <w:jc w:val="center"/>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color w:val="000000"/>
                <w:sz w:val="30"/>
                <w:szCs w:val="30"/>
                <w:vertAlign w:val="baseline"/>
                <w:lang w:val="en-US" w:eastAsia="zh-CN"/>
              </w:rPr>
              <w:t>固定单价，以实际发生工程量（栋数）计取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trPr>
        <w:tc>
          <w:tcPr>
            <w:tcW w:w="946" w:type="dxa"/>
            <w:vAlign w:val="center"/>
          </w:tcPr>
          <w:p>
            <w:pPr>
              <w:jc w:val="center"/>
              <w:rPr>
                <w:rFonts w:hint="default" w:ascii="仿宋" w:hAnsi="仿宋" w:eastAsia="仿宋" w:cs="仿宋"/>
                <w:b/>
                <w:bCs/>
                <w:sz w:val="30"/>
                <w:szCs w:val="30"/>
                <w:vertAlign w:val="baseline"/>
                <w:lang w:val="en-US" w:eastAsia="zh-CN"/>
              </w:rPr>
            </w:pPr>
            <w:r>
              <w:rPr>
                <w:rFonts w:hint="eastAsia" w:ascii="仿宋" w:hAnsi="仿宋" w:eastAsia="仿宋" w:cs="仿宋"/>
                <w:b/>
                <w:bCs/>
                <w:sz w:val="30"/>
                <w:szCs w:val="30"/>
                <w:vertAlign w:val="baseline"/>
                <w:lang w:val="en-US" w:eastAsia="zh-CN"/>
              </w:rPr>
              <w:t>11</w:t>
            </w:r>
          </w:p>
        </w:tc>
        <w:tc>
          <w:tcPr>
            <w:tcW w:w="1629" w:type="dxa"/>
            <w:vAlign w:val="center"/>
          </w:tcPr>
          <w:p>
            <w:pPr>
              <w:jc w:val="center"/>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联系人及提交报价材料地点</w:t>
            </w:r>
          </w:p>
        </w:tc>
        <w:tc>
          <w:tcPr>
            <w:tcW w:w="7020" w:type="dxa"/>
            <w:vAlign w:val="center"/>
          </w:tcPr>
          <w:p>
            <w:pPr>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招标联系人：黄胜敏  18370776023 提交报价材料地点：会昌县商会大厦十楼工程部。</w:t>
            </w:r>
          </w:p>
          <w:p>
            <w:pPr>
              <w:jc w:val="both"/>
              <w:rPr>
                <w:rFonts w:hint="default"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需要相关材料及勘察项目现场的请联系招标联系人，并在报名有效期内提交报价材料。</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二、报价要求及中标原则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1、投标要求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1.1、投标价格为固定单价记取，投标单位报价后我公司即视为报价方在报价前已充分进行了现场踏勘、考虑了风险评估及工程量偏差等所有风险。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1.2、报价文件由报价表（参照附件格式）、法人身份证复印件、公司营业执照复印件、资质证书复印件、委托书及被委托人身份证复印件，复印件</w:t>
      </w:r>
      <w:bookmarkStart w:id="1" w:name="_GoBack"/>
      <w:bookmarkEnd w:id="1"/>
      <w:r>
        <w:rPr>
          <w:rFonts w:hint="eastAsia" w:ascii="仿宋_GB2312" w:hAnsi="仿宋_GB2312" w:eastAsia="仿宋_GB2312" w:cs="仿宋_GB2312"/>
          <w:b w:val="0"/>
          <w:bCs w:val="0"/>
          <w:sz w:val="32"/>
          <w:szCs w:val="32"/>
          <w:lang w:val="en-US" w:eastAsia="zh-CN"/>
        </w:rPr>
        <w:t>均需加盖公章，所有材料必须进行封装并加盖公章，否则无效。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1.3、提供虚假资料的取消其投标及中标资格，开标时不足3家投标单位按流标处理。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1.4</w:t>
      </w:r>
      <w:bookmarkStart w:id="0" w:name="_Toc46481525"/>
      <w:r>
        <w:rPr>
          <w:rFonts w:hint="eastAsia" w:ascii="仿宋_GB2312" w:hAnsi="仿宋_GB2312" w:eastAsia="仿宋_GB2312" w:cs="仿宋_GB2312"/>
          <w:b w:val="0"/>
          <w:bCs w:val="0"/>
          <w:sz w:val="32"/>
          <w:szCs w:val="32"/>
          <w:lang w:val="en-US" w:eastAsia="zh-CN"/>
        </w:rPr>
        <w:t>、申请公司的资格要求</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（2）提供参加房屋安全鉴定活动前三年内，在经营活动中没有重大违法记录的</w:t>
      </w:r>
      <w:r>
        <w:rPr>
          <w:rFonts w:hint="eastAsia" w:ascii="仿宋_GB2312" w:hAnsi="仿宋_GB2312" w:eastAsia="仿宋_GB2312" w:cs="仿宋_GB2312"/>
          <w:b w:val="0"/>
          <w:bCs w:val="0"/>
          <w:sz w:val="32"/>
          <w:szCs w:val="32"/>
          <w:u w:val="single"/>
          <w:lang w:val="en-US" w:eastAsia="zh-CN"/>
        </w:rPr>
        <w:t>承诺书</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（3）提供公司主要管理及其直系亲属未在会昌县恒茂建设发展集团有限责任公司从业的</w:t>
      </w:r>
      <w:r>
        <w:rPr>
          <w:rFonts w:hint="eastAsia" w:ascii="仿宋_GB2312" w:hAnsi="仿宋_GB2312" w:eastAsia="仿宋_GB2312" w:cs="仿宋_GB2312"/>
          <w:b w:val="0"/>
          <w:bCs w:val="0"/>
          <w:sz w:val="32"/>
          <w:szCs w:val="32"/>
          <w:u w:val="single"/>
          <w:lang w:val="en-US" w:eastAsia="zh-CN"/>
        </w:rPr>
        <w:t>承诺书</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1.5、中标公示1天后3天内签订合同，签订合同后开展工作。</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3、中标原则：</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原则上符合报价文件且在同等条件下以总投标报价最优惠的单位为中标单位，由集团询价小组共同确认，最终报集团三重一大会议确定。</w:t>
      </w:r>
    </w:p>
    <w:p>
      <w:pPr>
        <w:numPr>
          <w:ilvl w:val="0"/>
          <w:numId w:val="1"/>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承包内容：</w:t>
      </w:r>
    </w:p>
    <w:p>
      <w:pPr>
        <w:numPr>
          <w:ilvl w:val="0"/>
          <w:numId w:val="0"/>
        </w:numPr>
        <w:ind w:firstLine="640" w:firstLineChars="200"/>
        <w:jc w:val="left"/>
        <w:rPr>
          <w:rFonts w:hint="default" w:ascii="仿宋_GB2312" w:hAnsi="仿宋_GB2312" w:eastAsia="仿宋_GB2312" w:cs="仿宋_GB2312"/>
          <w:b w:val="0"/>
          <w:bCs w:val="0"/>
          <w:sz w:val="32"/>
          <w:szCs w:val="32"/>
          <w:lang w:val="en-US" w:eastAsia="zh-CN"/>
        </w:rPr>
      </w:pPr>
      <w:r>
        <w:rPr>
          <w:rFonts w:hint="eastAsia" w:ascii="仿宋" w:hAnsi="仿宋" w:eastAsia="仿宋" w:cs="仿宋"/>
          <w:b w:val="0"/>
          <w:bCs/>
          <w:color w:val="000000"/>
          <w:sz w:val="32"/>
          <w:szCs w:val="32"/>
          <w:lang w:eastAsia="zh-CN"/>
        </w:rPr>
        <w:t>在</w:t>
      </w:r>
      <w:r>
        <w:rPr>
          <w:rFonts w:hint="eastAsia" w:ascii="仿宋" w:hAnsi="仿宋" w:eastAsia="仿宋" w:cs="仿宋"/>
          <w:b w:val="0"/>
          <w:bCs/>
          <w:color w:val="000000"/>
          <w:sz w:val="32"/>
          <w:szCs w:val="32"/>
          <w:lang w:val="en-US" w:eastAsia="zh-CN"/>
        </w:rPr>
        <w:t>约定工期内完成</w:t>
      </w:r>
      <w:r>
        <w:rPr>
          <w:rFonts w:hint="eastAsia" w:ascii="仿宋_GB2312" w:hAnsi="仿宋_GB2312" w:eastAsia="仿宋_GB2312" w:cs="仿宋_GB2312"/>
          <w:b w:val="0"/>
          <w:bCs w:val="0"/>
          <w:sz w:val="32"/>
          <w:szCs w:val="32"/>
          <w:lang w:val="en-US" w:eastAsia="zh-CN"/>
        </w:rPr>
        <w:t>项目所有房屋建筑面积测量、改造前和改造后两次房屋安全鉴定、检测报告编制</w:t>
      </w: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未在约定时间内完成，我方保留解除合同的权利</w:t>
      </w:r>
      <w:r>
        <w:rPr>
          <w:rFonts w:hint="eastAsia" w:ascii="仿宋" w:hAnsi="仿宋" w:eastAsia="仿宋" w:cs="仿宋"/>
          <w:b w:val="0"/>
          <w:bCs w:val="0"/>
          <w:sz w:val="32"/>
          <w:szCs w:val="32"/>
          <w:vertAlign w:val="baseline"/>
          <w:lang w:val="en-US" w:eastAsia="zh-CN"/>
        </w:rPr>
        <w:t>。</w:t>
      </w:r>
    </w:p>
    <w:p>
      <w:pPr>
        <w:numPr>
          <w:ilvl w:val="0"/>
          <w:numId w:val="0"/>
        </w:numPr>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三、投标文件递交</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1、投标人应将投标文件密封加盖章。</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2、封装袋上可写明投标人名称和联系方式。</w:t>
      </w:r>
    </w:p>
    <w:p>
      <w:pPr>
        <w:numPr>
          <w:ilvl w:val="0"/>
          <w:numId w:val="0"/>
        </w:numPr>
        <w:ind w:firstLine="640"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3、投标人应在规定时间前将投标文件递交到指定地点。</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四、项目概况</w:t>
      </w:r>
    </w:p>
    <w:p>
      <w:pPr>
        <w:numPr>
          <w:ilvl w:val="0"/>
          <w:numId w:val="0"/>
        </w:numPr>
        <w:ind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对会昌县中心城区</w:t>
      </w:r>
      <w:r>
        <w:rPr>
          <w:rFonts w:hint="eastAsia" w:ascii="仿宋_GB2312" w:hAnsi="仿宋_GB2312" w:eastAsia="仿宋_GB2312" w:cs="仿宋_GB2312"/>
          <w:sz w:val="32"/>
          <w:szCs w:val="32"/>
          <w:lang w:val="en-US" w:eastAsia="zh-CN"/>
        </w:rPr>
        <w:t>保障性租赁住房643套（间）进行房屋安全鉴定。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pPr>
        <w:ind w:firstLine="640" w:firstLineChars="200"/>
        <w:rPr>
          <w:rFonts w:hint="default" w:ascii="宋体" w:hAnsi="宋体" w:cs="宋体"/>
          <w:b w:val="0"/>
          <w:bCs/>
          <w:color w:val="000000"/>
          <w:kern w:val="0"/>
          <w:sz w:val="32"/>
          <w:szCs w:val="32"/>
          <w:lang w:val="en-US" w:eastAsia="zh-CN"/>
        </w:rPr>
        <w:sectPr>
          <w:pgSz w:w="11906" w:h="16838"/>
          <w:pgMar w:top="2041" w:right="1531" w:bottom="2041" w:left="1531" w:header="851" w:footer="992" w:gutter="0"/>
          <w:cols w:space="425" w:num="1"/>
          <w:docGrid w:type="lines" w:linePitch="312" w:charSpace="0"/>
        </w:sectPr>
      </w:pPr>
    </w:p>
    <w:p>
      <w:pPr>
        <w:rPr>
          <w:rFonts w:hint="eastAsia" w:ascii="仿宋_GB2312" w:hAnsi="仿宋_GB2312"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ZGJlN2IzZmM4Y2Q3ZGU0MThiMmI1NmY3ZmY0OTEifQ=="/>
  </w:docVars>
  <w:rsids>
    <w:rsidRoot w:val="00000000"/>
    <w:rsid w:val="0394658D"/>
    <w:rsid w:val="06C0204E"/>
    <w:rsid w:val="096D61C8"/>
    <w:rsid w:val="09D94AF6"/>
    <w:rsid w:val="0B2D1730"/>
    <w:rsid w:val="0F6B4008"/>
    <w:rsid w:val="11D460EA"/>
    <w:rsid w:val="121A75C0"/>
    <w:rsid w:val="12DD7EA1"/>
    <w:rsid w:val="15B7218A"/>
    <w:rsid w:val="1A99151C"/>
    <w:rsid w:val="1CBD66FD"/>
    <w:rsid w:val="296E7CC0"/>
    <w:rsid w:val="2FF46872"/>
    <w:rsid w:val="34975C41"/>
    <w:rsid w:val="354D5A8E"/>
    <w:rsid w:val="369D236E"/>
    <w:rsid w:val="383D6F49"/>
    <w:rsid w:val="3C8A7EBB"/>
    <w:rsid w:val="41E77C61"/>
    <w:rsid w:val="42585F79"/>
    <w:rsid w:val="45D3296A"/>
    <w:rsid w:val="48760F56"/>
    <w:rsid w:val="4D46449D"/>
    <w:rsid w:val="4D9F479C"/>
    <w:rsid w:val="4F877742"/>
    <w:rsid w:val="57254786"/>
    <w:rsid w:val="6D8B6D51"/>
    <w:rsid w:val="759913CB"/>
    <w:rsid w:val="7BD76009"/>
    <w:rsid w:val="7D392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adjustRightInd w:val="0"/>
      <w:snapToGrid w:val="0"/>
      <w:spacing w:beforeAutospacing="0" w:afterAutospacing="0" w:line="360" w:lineRule="auto"/>
      <w:ind w:firstLine="643" w:firstLineChars="200"/>
      <w:jc w:val="left"/>
      <w:outlineLvl w:val="1"/>
    </w:pPr>
    <w:rPr>
      <w:rFonts w:hint="eastAsia"/>
      <w:b/>
      <w:bCs/>
      <w:kern w:val="0"/>
    </w:rPr>
  </w:style>
  <w:style w:type="character" w:default="1" w:styleId="8">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仿宋"/>
      <w:sz w:val="32"/>
    </w:rPr>
  </w:style>
  <w:style w:type="paragraph" w:styleId="4">
    <w:name w:val="Body Text Indent"/>
    <w:basedOn w:val="1"/>
    <w:next w:val="3"/>
    <w:qFormat/>
    <w:uiPriority w:val="0"/>
    <w:pPr>
      <w:spacing w:after="120"/>
      <w:ind w:left="420" w:leftChars="200"/>
    </w:pPr>
    <w:rPr>
      <w:rFonts w:eastAsia="宋体" w:cs="Times New Roman"/>
      <w:sz w:val="21"/>
    </w:rPr>
  </w:style>
  <w:style w:type="paragraph" w:styleId="5">
    <w:name w:val="Body Text First Indent 2"/>
    <w:basedOn w:val="4"/>
    <w:qFormat/>
    <w:uiPriority w:val="0"/>
    <w:pPr>
      <w:ind w:firstLine="420" w:firstLineChars="200"/>
    </w:pPr>
    <w:rPr>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styleId="10">
    <w:name w:val="Hyperlink"/>
    <w:qFormat/>
    <w:uiPriority w:val="0"/>
    <w:rPr>
      <w:color w:val="0000FF"/>
      <w:u w:val="single"/>
    </w:rPr>
  </w:style>
  <w:style w:type="character" w:customStyle="1" w:styleId="11">
    <w:name w:val="font41"/>
    <w:basedOn w:val="8"/>
    <w:qFormat/>
    <w:uiPriority w:val="0"/>
    <w:rPr>
      <w:rFonts w:hint="eastAsia" w:ascii="宋体" w:hAnsi="宋体" w:eastAsia="宋体" w:cs="宋体"/>
      <w:color w:val="000000"/>
      <w:sz w:val="18"/>
      <w:szCs w:val="18"/>
      <w:u w:val="none"/>
    </w:rPr>
  </w:style>
  <w:style w:type="character" w:customStyle="1" w:styleId="12">
    <w:name w:val="font31"/>
    <w:basedOn w:val="8"/>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1389</Words>
  <Characters>1582</Characters>
  <Paragraphs>155</Paragraphs>
  <TotalTime>10</TotalTime>
  <ScaleCrop>false</ScaleCrop>
  <LinksUpToDate>false</LinksUpToDate>
  <CharactersWithSpaces>1624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时一</cp:lastModifiedBy>
  <cp:lastPrinted>2023-06-12T08:09:00Z</cp:lastPrinted>
  <dcterms:modified xsi:type="dcterms:W3CDTF">2023-09-19T14:31:56Z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D5686C311FAE457A99D700CBCB49C080</vt:lpwstr>
  </property>
</Properties>
</file>