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bookmarkStart w:id="0" w:name="_GoBack"/>
      <w:r>
        <w:rPr>
          <w:rFonts w:hint="eastAsia" w:ascii="仿宋" w:hAnsi="仿宋" w:eastAsia="仿宋" w:cs="仿宋"/>
          <w:b/>
          <w:sz w:val="36"/>
          <w:szCs w:val="36"/>
          <w:u w:val="none"/>
          <w:lang w:eastAsia="zh-CN"/>
        </w:rPr>
        <w:t>会昌县城市发展投资有限责任公司对施工围挡挂网询价发包</w:t>
      </w:r>
      <w:r>
        <w:rPr>
          <w:rFonts w:hint="eastAsia" w:ascii="仿宋" w:hAnsi="仿宋" w:eastAsia="仿宋" w:cs="仿宋"/>
          <w:b/>
          <w:sz w:val="36"/>
          <w:szCs w:val="36"/>
          <w:u w:val="none"/>
        </w:rPr>
        <w:t>公告</w:t>
      </w:r>
    </w:p>
    <w:bookmarkEnd w:id="0"/>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val="en-US" w:eastAsia="zh-CN"/>
              </w:rPr>
              <w:t>会昌县城市发展投资有限责任公司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会昌县增坑安置区南侧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内容</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施工固定式围挡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2023年8月1日至2023年8月4日下午3点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完成围挡搭设并验收后半年内一次性付清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招标联系人：黄胜敏  18370776023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开标时间为：2023年8月4日下午3:00，集团询价小组进行现场拆封各投标人报价文件，审核各投标人报价，按总价最优惠原则确定服务机构。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1.1、投标价格为固定单价，投标单位报价后我公司即视为报价方在报价前已充分进行了现场踏勘、测量、风险评估及工期提前等所有风险。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1.6、中标公示3天后3个工作日内签订合同，签订合同后3天日内进场开展工作。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w:t>
      </w:r>
      <w:r>
        <w:rPr>
          <w:rFonts w:hint="eastAsia" w:ascii="仿宋_GB2312" w:hAnsi="仿宋_GB2312" w:eastAsia="仿宋_GB2312" w:cs="仿宋_GB2312"/>
          <w:b w:val="0"/>
          <w:bCs w:val="0"/>
          <w:sz w:val="32"/>
          <w:szCs w:val="32"/>
          <w:lang w:val="en-US" w:eastAsia="zh-CN"/>
        </w:rPr>
        <w:t>则上符合报价文件且在同等条件下总价最优惠的为中标单位，</w:t>
      </w:r>
      <w:r>
        <w:rPr>
          <w:rFonts w:hint="eastAsia" w:ascii="仿宋_GB2312" w:hAnsi="仿宋_GB2312" w:eastAsia="仿宋_GB2312" w:cs="仿宋_GB2312"/>
          <w:sz w:val="32"/>
          <w:szCs w:val="32"/>
          <w:lang w:val="en-US" w:eastAsia="zh-CN"/>
        </w:rPr>
        <w:t>由集团询价小组推选，最终报集团“三重一大”会议确定。</w:t>
      </w:r>
    </w:p>
    <w:p>
      <w:pPr>
        <w:numPr>
          <w:ilvl w:val="0"/>
          <w:numId w:val="0"/>
        </w:numPr>
        <w:jc w:val="left"/>
        <w:rPr>
          <w:rFonts w:hint="default" w:ascii="仿宋_GB2312" w:hAnsi="仿宋_GB2312" w:eastAsia="仿宋_GB2312" w:cs="仿宋_GB2312"/>
          <w:sz w:val="32"/>
          <w:szCs w:val="32"/>
          <w:lang w:val="en-US" w:eastAsia="zh-CN"/>
        </w:rPr>
      </w:pPr>
    </w:p>
    <w:p>
      <w:pPr>
        <w:numPr>
          <w:ilvl w:val="0"/>
          <w:numId w:val="0"/>
        </w:numPr>
        <w:jc w:val="left"/>
        <w:rPr>
          <w:rFonts w:hint="default" w:ascii="仿宋_GB2312" w:hAnsi="仿宋_GB2312" w:eastAsia="仿宋_GB2312" w:cs="仿宋_GB2312"/>
          <w:sz w:val="32"/>
          <w:szCs w:val="32"/>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560" w:firstLineChars="200"/>
        <w:jc w:val="left"/>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采购及安装施工围挡</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b w:val="0"/>
          <w:bCs w:val="0"/>
          <w:sz w:val="30"/>
          <w:szCs w:val="30"/>
          <w:vertAlign w:val="baseline"/>
          <w:lang w:val="en-US" w:eastAsia="zh-CN"/>
        </w:rPr>
        <w:t>会昌县增坑安置区南侧R-01-02地块安装施工围挡</w:t>
      </w:r>
    </w:p>
    <w:p>
      <w:pPr>
        <w:numPr>
          <w:ilvl w:val="0"/>
          <w:numId w:val="2"/>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招标控制价</w:t>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项目名称</w:t>
            </w:r>
          </w:p>
        </w:tc>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控制价</w:t>
            </w:r>
          </w:p>
        </w:tc>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单位</w:t>
            </w:r>
          </w:p>
        </w:tc>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工程量</w:t>
            </w:r>
          </w:p>
        </w:tc>
        <w:tc>
          <w:tcPr>
            <w:tcW w:w="1421"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kern w:val="2"/>
                <w:sz w:val="40"/>
                <w:szCs w:val="40"/>
                <w:vertAlign w:val="baseline"/>
                <w:lang w:val="en-US" w:eastAsia="zh-CN" w:bidi="ar-SA"/>
              </w:rPr>
              <w:t>总价</w:t>
            </w:r>
          </w:p>
        </w:tc>
        <w:tc>
          <w:tcPr>
            <w:tcW w:w="1421" w:type="dxa"/>
          </w:tcPr>
          <w:p>
            <w:pPr>
              <w:widowControl/>
              <w:spacing w:line="500" w:lineRule="exact"/>
              <w:jc w:val="both"/>
              <w:rPr>
                <w:rFonts w:hint="eastAsia" w:ascii="楷体" w:hAnsi="楷体" w:eastAsia="楷体" w:cs="楷体"/>
                <w:sz w:val="40"/>
                <w:szCs w:val="40"/>
                <w:vertAlign w:val="baseline"/>
                <w:lang w:eastAsia="zh-CN"/>
              </w:rPr>
            </w:pPr>
          </w:p>
          <w:p>
            <w:pPr>
              <w:widowControl/>
              <w:spacing w:line="500" w:lineRule="exact"/>
              <w:jc w:val="both"/>
              <w:rPr>
                <w:rFonts w:hint="eastAsia" w:ascii="宋体" w:hAnsi="宋体" w:cs="宋体"/>
                <w:b w:val="0"/>
                <w:bCs/>
                <w:color w:val="000000"/>
                <w:kern w:val="0"/>
                <w:sz w:val="32"/>
                <w:szCs w:val="32"/>
                <w:vertAlign w:val="baseline"/>
                <w:lang w:val="en-US" w:eastAsia="zh-CN"/>
              </w:rPr>
            </w:pPr>
            <w:r>
              <w:rPr>
                <w:rFonts w:hint="eastAsia" w:ascii="楷体" w:hAnsi="楷体" w:eastAsia="楷体" w:cs="楷体"/>
                <w:sz w:val="40"/>
                <w:szCs w:val="40"/>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605" w:hRule="atLeast"/>
        </w:trPr>
        <w:tc>
          <w:tcPr>
            <w:tcW w:w="1420" w:type="dxa"/>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固定式围挡</w:t>
            </w:r>
          </w:p>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eastAsia="zh-CN"/>
              </w:rPr>
              <w:t>（高</w:t>
            </w:r>
            <w:r>
              <w:rPr>
                <w:rFonts w:hint="eastAsia" w:ascii="仿宋" w:hAnsi="仿宋" w:eastAsia="仿宋" w:cs="仿宋"/>
                <w:sz w:val="32"/>
                <w:szCs w:val="32"/>
                <w:vertAlign w:val="baseline"/>
                <w:lang w:val="en-US" w:eastAsia="zh-CN"/>
              </w:rPr>
              <w:t>2m</w:t>
            </w:r>
            <w:r>
              <w:rPr>
                <w:rFonts w:hint="eastAsia" w:ascii="仿宋" w:hAnsi="仿宋" w:eastAsia="仿宋" w:cs="仿宋"/>
                <w:sz w:val="32"/>
                <w:szCs w:val="32"/>
                <w:vertAlign w:val="baseline"/>
                <w:lang w:eastAsia="zh-CN"/>
              </w:rPr>
              <w:t>）</w:t>
            </w:r>
          </w:p>
        </w:tc>
        <w:tc>
          <w:tcPr>
            <w:tcW w:w="1420" w:type="dxa"/>
          </w:tcPr>
          <w:p>
            <w:pPr>
              <w:pStyle w:val="4"/>
              <w:ind w:left="0" w:leftChars="0" w:firstLine="0" w:firstLineChars="0"/>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65元/㎡</w:t>
            </w:r>
          </w:p>
        </w:tc>
        <w:tc>
          <w:tcPr>
            <w:tcW w:w="1420" w:type="dxa"/>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元/㎡</w:t>
            </w:r>
          </w:p>
        </w:tc>
        <w:tc>
          <w:tcPr>
            <w:tcW w:w="1420" w:type="dxa"/>
          </w:tcPr>
          <w:p>
            <w:pPr>
              <w:pStyle w:val="4"/>
              <w:ind w:left="0" w:leftChars="0" w:firstLine="0" w:firstLineChars="0"/>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1060㎡</w:t>
            </w:r>
          </w:p>
        </w:tc>
        <w:tc>
          <w:tcPr>
            <w:tcW w:w="1421" w:type="dxa"/>
          </w:tcPr>
          <w:p>
            <w:pPr>
              <w:pStyle w:val="4"/>
              <w:ind w:left="0" w:leftChars="0" w:firstLine="0" w:firstLineChars="0"/>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68900元</w:t>
            </w:r>
          </w:p>
        </w:tc>
        <w:tc>
          <w:tcPr>
            <w:tcW w:w="1421" w:type="dxa"/>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最高限价，含税</w:t>
            </w:r>
          </w:p>
        </w:tc>
      </w:tr>
    </w:tbl>
    <w:p>
      <w:pPr>
        <w:widowControl/>
        <w:spacing w:line="500" w:lineRule="exact"/>
        <w:jc w:val="both"/>
        <w:rPr>
          <w:rFonts w:hint="eastAsia" w:ascii="宋体" w:hAnsi="宋体" w:cs="宋体"/>
          <w:b w:val="0"/>
          <w:bCs/>
          <w:color w:val="000000"/>
          <w:kern w:val="0"/>
          <w:sz w:val="32"/>
          <w:szCs w:val="32"/>
          <w:lang w:val="en-US" w:eastAsia="zh-CN"/>
        </w:rPr>
      </w:pPr>
    </w:p>
    <w:p>
      <w:pPr>
        <w:numPr>
          <w:ilvl w:val="0"/>
          <w:numId w:val="0"/>
        </w:numPr>
        <w:ind w:firstLine="600" w:firstLineChars="200"/>
        <w:jc w:val="left"/>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注意事项：投标报价超出控制价的视为无效投标，且工程量不得超，附图1红线图。</w:t>
      </w:r>
    </w:p>
    <w:p>
      <w:pPr>
        <w:ind w:firstLine="643" w:firstLineChars="200"/>
        <w:rPr>
          <w:rFonts w:hint="default" w:ascii="宋体" w:hAnsi="宋体" w:cs="宋体"/>
          <w:b w:val="0"/>
          <w:bCs/>
          <w:color w:val="000000"/>
          <w:kern w:val="0"/>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jc w:val="center"/>
        <w:rPr>
          <w:rFonts w:hint="eastAsia" w:ascii="宋体" w:hAnsi="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p>
      <w:pPr>
        <w:widowControl/>
        <w:spacing w:line="500" w:lineRule="exact"/>
        <w:jc w:val="center"/>
        <w:rPr>
          <w:rFonts w:hint="eastAsia" w:ascii="宋体" w:hAnsi="宋体" w:cs="宋体"/>
          <w:b/>
          <w:bCs w:val="0"/>
          <w:color w:val="000000"/>
          <w:kern w:val="0"/>
          <w:sz w:val="36"/>
          <w:szCs w:val="36"/>
          <w:lang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项目名称</w:t>
            </w:r>
          </w:p>
        </w:tc>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报价</w:t>
            </w:r>
          </w:p>
        </w:tc>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单位</w:t>
            </w:r>
          </w:p>
        </w:tc>
        <w:tc>
          <w:tcPr>
            <w:tcW w:w="1420"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sz w:val="40"/>
                <w:szCs w:val="40"/>
                <w:vertAlign w:val="baseline"/>
                <w:lang w:eastAsia="zh-CN"/>
              </w:rPr>
              <w:t>工程量</w:t>
            </w:r>
          </w:p>
        </w:tc>
        <w:tc>
          <w:tcPr>
            <w:tcW w:w="1421" w:type="dxa"/>
            <w:vAlign w:val="center"/>
          </w:tcPr>
          <w:p>
            <w:pPr>
              <w:pStyle w:val="4"/>
              <w:ind w:left="0" w:leftChars="0" w:firstLine="0" w:firstLineChars="0"/>
              <w:jc w:val="center"/>
              <w:rPr>
                <w:rFonts w:hint="eastAsia" w:ascii="楷体" w:hAnsi="楷体" w:eastAsia="楷体" w:cs="楷体"/>
                <w:kern w:val="2"/>
                <w:sz w:val="40"/>
                <w:szCs w:val="40"/>
                <w:vertAlign w:val="baseline"/>
                <w:lang w:val="en-US" w:eastAsia="zh-CN" w:bidi="ar-SA"/>
              </w:rPr>
            </w:pPr>
            <w:r>
              <w:rPr>
                <w:rFonts w:hint="eastAsia" w:ascii="楷体" w:hAnsi="楷体" w:eastAsia="楷体" w:cs="楷体"/>
                <w:kern w:val="2"/>
                <w:sz w:val="40"/>
                <w:szCs w:val="40"/>
                <w:vertAlign w:val="baseline"/>
                <w:lang w:val="en-US" w:eastAsia="zh-CN" w:bidi="ar-SA"/>
              </w:rPr>
              <w:t>总价</w:t>
            </w:r>
          </w:p>
        </w:tc>
        <w:tc>
          <w:tcPr>
            <w:tcW w:w="1421" w:type="dxa"/>
          </w:tcPr>
          <w:p>
            <w:pPr>
              <w:widowControl/>
              <w:spacing w:line="500" w:lineRule="exact"/>
              <w:jc w:val="both"/>
              <w:rPr>
                <w:rFonts w:hint="eastAsia" w:ascii="楷体" w:hAnsi="楷体" w:eastAsia="楷体" w:cs="楷体"/>
                <w:sz w:val="40"/>
                <w:szCs w:val="40"/>
                <w:vertAlign w:val="baseline"/>
                <w:lang w:eastAsia="zh-CN"/>
              </w:rPr>
            </w:pPr>
          </w:p>
          <w:p>
            <w:pPr>
              <w:widowControl/>
              <w:spacing w:line="500" w:lineRule="exact"/>
              <w:jc w:val="both"/>
              <w:rPr>
                <w:rFonts w:hint="eastAsia" w:ascii="宋体" w:hAnsi="宋体" w:cs="宋体"/>
                <w:b w:val="0"/>
                <w:bCs/>
                <w:color w:val="000000"/>
                <w:kern w:val="0"/>
                <w:sz w:val="32"/>
                <w:szCs w:val="32"/>
                <w:vertAlign w:val="baseline"/>
                <w:lang w:val="en-US" w:eastAsia="zh-CN"/>
              </w:rPr>
            </w:pPr>
            <w:r>
              <w:rPr>
                <w:rFonts w:hint="eastAsia" w:ascii="楷体" w:hAnsi="楷体" w:eastAsia="楷体" w:cs="楷体"/>
                <w:sz w:val="40"/>
                <w:szCs w:val="40"/>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1420" w:type="dxa"/>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固定式围挡</w:t>
            </w:r>
          </w:p>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eastAsia="zh-CN"/>
              </w:rPr>
              <w:t>（高</w:t>
            </w:r>
            <w:r>
              <w:rPr>
                <w:rFonts w:hint="eastAsia" w:ascii="仿宋" w:hAnsi="仿宋" w:eastAsia="仿宋" w:cs="仿宋"/>
                <w:sz w:val="32"/>
                <w:szCs w:val="32"/>
                <w:vertAlign w:val="baseline"/>
                <w:lang w:val="en-US" w:eastAsia="zh-CN"/>
              </w:rPr>
              <w:t>2m</w:t>
            </w:r>
            <w:r>
              <w:rPr>
                <w:rFonts w:hint="eastAsia" w:ascii="仿宋" w:hAnsi="仿宋" w:eastAsia="仿宋" w:cs="仿宋"/>
                <w:sz w:val="32"/>
                <w:szCs w:val="32"/>
                <w:vertAlign w:val="baseline"/>
                <w:lang w:eastAsia="zh-CN"/>
              </w:rPr>
              <w:t>）</w:t>
            </w:r>
          </w:p>
        </w:tc>
        <w:tc>
          <w:tcPr>
            <w:tcW w:w="1420" w:type="dxa"/>
          </w:tcPr>
          <w:p>
            <w:pPr>
              <w:pStyle w:val="4"/>
              <w:ind w:left="0" w:leftChars="0" w:firstLine="0" w:firstLineChars="0"/>
              <w:jc w:val="center"/>
              <w:rPr>
                <w:rFonts w:hint="default" w:ascii="仿宋" w:hAnsi="仿宋" w:eastAsia="仿宋" w:cs="仿宋"/>
                <w:sz w:val="32"/>
                <w:szCs w:val="32"/>
                <w:vertAlign w:val="baseline"/>
                <w:lang w:val="en-US" w:eastAsia="zh-CN"/>
              </w:rPr>
            </w:pPr>
          </w:p>
        </w:tc>
        <w:tc>
          <w:tcPr>
            <w:tcW w:w="1420" w:type="dxa"/>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元/㎡</w:t>
            </w:r>
          </w:p>
        </w:tc>
        <w:tc>
          <w:tcPr>
            <w:tcW w:w="1420" w:type="dxa"/>
          </w:tcPr>
          <w:p>
            <w:pPr>
              <w:pStyle w:val="4"/>
              <w:ind w:left="0" w:leftChars="0" w:firstLine="0" w:firstLineChars="0"/>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1060㎡</w:t>
            </w:r>
          </w:p>
        </w:tc>
        <w:tc>
          <w:tcPr>
            <w:tcW w:w="1421" w:type="dxa"/>
          </w:tcPr>
          <w:p>
            <w:pPr>
              <w:pStyle w:val="4"/>
              <w:ind w:left="0" w:leftChars="0" w:firstLine="0" w:firstLineChars="0"/>
              <w:jc w:val="center"/>
              <w:rPr>
                <w:rFonts w:hint="default" w:ascii="仿宋" w:hAnsi="仿宋" w:eastAsia="仿宋" w:cs="仿宋"/>
                <w:sz w:val="32"/>
                <w:szCs w:val="32"/>
                <w:vertAlign w:val="baseline"/>
                <w:lang w:val="en-US" w:eastAsia="zh-CN"/>
              </w:rPr>
            </w:pPr>
          </w:p>
        </w:tc>
        <w:tc>
          <w:tcPr>
            <w:tcW w:w="1421" w:type="dxa"/>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最高限价，含税</w:t>
            </w:r>
          </w:p>
        </w:tc>
      </w:tr>
    </w:tbl>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我公司报价包含了现场踏勘、测量、风险评估、工期提前等所有风险，上述报价包含</w:t>
      </w:r>
      <w:r>
        <w:rPr>
          <w:rFonts w:hint="eastAsia" w:ascii="仿宋" w:hAnsi="仿宋" w:eastAsia="仿宋" w:cs="仿宋"/>
          <w:b w:val="0"/>
          <w:bCs/>
          <w:color w:val="000000"/>
          <w:sz w:val="32"/>
          <w:szCs w:val="32"/>
          <w:lang w:eastAsia="zh-CN"/>
        </w:rPr>
        <w:t>项目主体检测</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abstractNum w:abstractNumId="1">
    <w:nsid w:val="60CE400C"/>
    <w:multiLevelType w:val="singleLevel"/>
    <w:tmpl w:val="60CE400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0394658D"/>
    <w:rsid w:val="09D94AF6"/>
    <w:rsid w:val="0B2D1730"/>
    <w:rsid w:val="0C2357FD"/>
    <w:rsid w:val="0F6B4008"/>
    <w:rsid w:val="12DD7EA1"/>
    <w:rsid w:val="1BFB1712"/>
    <w:rsid w:val="1CBD66FD"/>
    <w:rsid w:val="1F5D2BD2"/>
    <w:rsid w:val="23763FD0"/>
    <w:rsid w:val="29B10D91"/>
    <w:rsid w:val="2FF46872"/>
    <w:rsid w:val="317B4234"/>
    <w:rsid w:val="41E77C61"/>
    <w:rsid w:val="4553644D"/>
    <w:rsid w:val="4795043A"/>
    <w:rsid w:val="47F4274D"/>
    <w:rsid w:val="4D46449D"/>
    <w:rsid w:val="4DE16ADC"/>
    <w:rsid w:val="62E8137B"/>
    <w:rsid w:val="6FBD756E"/>
    <w:rsid w:val="733F3C8D"/>
    <w:rsid w:val="77720224"/>
    <w:rsid w:val="78E24330"/>
    <w:rsid w:val="79EE1488"/>
    <w:rsid w:val="7D3923AB"/>
    <w:rsid w:val="7DD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1761</Words>
  <Characters>1882</Characters>
  <Paragraphs>155</Paragraphs>
  <TotalTime>17</TotalTime>
  <ScaleCrop>false</ScaleCrop>
  <LinksUpToDate>false</LinksUpToDate>
  <CharactersWithSpaces>1990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2023-08-01T08:32:56Z</cp:lastPrinted>
  <dcterms:modified xsi:type="dcterms:W3CDTF">2023-08-01T09:24:13Z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D5686C311FAE457A99D700CBCB49C080</vt:lpwstr>
  </property>
</Properties>
</file>