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36"/>
          <w:szCs w:val="36"/>
          <w:u w:val="none"/>
          <w:lang w:eastAsia="zh-CN"/>
        </w:rPr>
      </w:pPr>
      <w:bookmarkStart w:id="0" w:name="_Toc439447799"/>
      <w:bookmarkStart w:id="1" w:name="_Toc512011785"/>
      <w:bookmarkStart w:id="2" w:name="_Toc261477746"/>
      <w:r>
        <w:rPr>
          <w:rFonts w:hint="eastAsia" w:ascii="仿宋" w:hAnsi="仿宋" w:eastAsia="仿宋" w:cs="仿宋"/>
          <w:b/>
          <w:sz w:val="36"/>
          <w:szCs w:val="36"/>
          <w:u w:val="none"/>
          <w:lang w:val="en-US" w:eastAsia="zh-CN"/>
        </w:rPr>
        <w:t>G206会昌县珠高寨至九州段公路改建工程及沿线配套设施建设</w:t>
      </w:r>
      <w:bookmarkEnd w:id="0"/>
      <w:bookmarkEnd w:id="1"/>
      <w:bookmarkEnd w:id="2"/>
      <w:r>
        <w:rPr>
          <w:rFonts w:hint="eastAsia" w:ascii="仿宋" w:hAnsi="仿宋" w:eastAsia="仿宋" w:cs="仿宋"/>
          <w:b/>
          <w:sz w:val="36"/>
          <w:szCs w:val="36"/>
          <w:u w:val="none"/>
          <w:lang w:val="en-US" w:eastAsia="zh-CN"/>
        </w:rPr>
        <w:t>项目环境</w:t>
      </w:r>
      <w:r>
        <w:rPr>
          <w:rFonts w:hint="eastAsia" w:ascii="仿宋" w:hAnsi="仿宋" w:eastAsia="仿宋" w:cs="仿宋"/>
          <w:b/>
          <w:sz w:val="36"/>
          <w:szCs w:val="36"/>
          <w:u w:val="none"/>
          <w:lang w:eastAsia="zh-CN"/>
        </w:rPr>
        <w:t>影响评价工作询价发包挂网</w:t>
      </w:r>
    </w:p>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lang w:eastAsia="zh-CN"/>
        </w:rPr>
        <w:t>招标公告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G206会昌县珠高寨至九州段公路改建工程及沿线配套设施建设项目环境</w:t>
            </w:r>
            <w:r>
              <w:rPr>
                <w:rFonts w:hint="eastAsia" w:ascii="仿宋" w:hAnsi="仿宋" w:eastAsia="仿宋" w:cs="仿宋"/>
                <w:b w:val="0"/>
                <w:bCs/>
                <w:sz w:val="30"/>
                <w:szCs w:val="30"/>
                <w:u w:val="none"/>
                <w:lang w:eastAsia="zh-CN"/>
              </w:rPr>
              <w:t>影响评价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G206会昌县珠高寨至九州段公路改建工程及沿线配套设施建设项目环境</w:t>
            </w:r>
            <w:r>
              <w:rPr>
                <w:rFonts w:hint="eastAsia" w:ascii="仿宋" w:hAnsi="仿宋" w:eastAsia="仿宋" w:cs="仿宋"/>
                <w:b w:val="0"/>
                <w:bCs/>
                <w:sz w:val="30"/>
                <w:szCs w:val="30"/>
                <w:u w:val="none"/>
                <w:lang w:eastAsia="zh-CN"/>
              </w:rPr>
              <w:t>影响评价</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按建设项目环境保护管理法律、法规和环境影响评价有关技术规范、导则、标准编制环境影响评价报告。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2023年6月22日至2023年6月26日下午3点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项目环境影响评价报告，</w:t>
            </w:r>
            <w:r>
              <w:rPr>
                <w:rFonts w:hint="eastAsia" w:ascii="仿宋" w:hAnsi="仿宋" w:eastAsia="仿宋" w:cs="仿宋"/>
                <w:b w:val="0"/>
                <w:bCs w:val="0"/>
                <w:sz w:val="30"/>
                <w:szCs w:val="30"/>
                <w:vertAlign w:val="baseline"/>
                <w:lang w:val="en-US" w:eastAsia="zh-CN"/>
              </w:rPr>
              <w:t>并通过行业主管部门审批后一年内支付。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联系人及提交报价材料地点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招标联系人：陈永鸿  15979096733 提交报价材料地点：会昌县商会大厦十楼工程部。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开标时间为：2023年6月26日下午3:00，集团询价小组进行现场拆封各投标人报价文件，审核各投标人资质，按低价原则确定服务机构。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1.1、投标价格为固定总价，投标单位报价后我公司即视为报价方在报价前已充分进行了现场踏勘、考虑了风险评估及工期提前等所有风险。任何要求</w:t>
      </w:r>
      <w:bookmarkStart w:id="3" w:name="_Hlk529951313"/>
      <w:r>
        <w:rPr>
          <w:rFonts w:hint="eastAsia" w:ascii="仿宋_GB2312" w:hAnsi="仿宋_GB2312" w:eastAsia="仿宋_GB2312" w:cs="仿宋_GB2312"/>
          <w:b w:val="0"/>
          <w:bCs w:val="0"/>
          <w:sz w:val="32"/>
          <w:szCs w:val="32"/>
          <w:lang w:val="en-US" w:eastAsia="zh-CN"/>
        </w:rPr>
        <w:t>增减、变更</w:t>
      </w:r>
      <w:bookmarkEnd w:id="3"/>
      <w:r>
        <w:rPr>
          <w:rFonts w:hint="eastAsia" w:ascii="仿宋_GB2312" w:hAnsi="仿宋_GB2312" w:eastAsia="仿宋_GB2312" w:cs="仿宋_GB2312"/>
          <w:b w:val="0"/>
          <w:bCs w:val="0"/>
          <w:sz w:val="32"/>
          <w:szCs w:val="32"/>
          <w:lang w:val="en-US" w:eastAsia="zh-CN"/>
        </w:rPr>
        <w:t>单价的，将不予认可。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4" w:name="_Toc46481525"/>
      <w:r>
        <w:rPr>
          <w:rFonts w:hint="eastAsia" w:ascii="仿宋_GB2312" w:hAnsi="仿宋_GB2312" w:eastAsia="仿宋_GB2312" w:cs="仿宋_GB2312"/>
          <w:b w:val="0"/>
          <w:bCs w:val="0"/>
          <w:sz w:val="32"/>
          <w:szCs w:val="32"/>
          <w:lang w:val="en-US" w:eastAsia="zh-CN"/>
        </w:rPr>
        <w:t>、申请公司的资格要求</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（2）提供参加环境</w:t>
      </w:r>
      <w:r>
        <w:rPr>
          <w:rFonts w:hint="eastAsia" w:ascii="仿宋" w:hAnsi="仿宋" w:eastAsia="仿宋" w:cs="仿宋"/>
          <w:b w:val="0"/>
          <w:bCs/>
          <w:color w:val="000000"/>
          <w:sz w:val="32"/>
          <w:szCs w:val="32"/>
          <w:lang w:eastAsia="zh-CN"/>
        </w:rPr>
        <w:t>影响评价</w:t>
      </w:r>
      <w:r>
        <w:rPr>
          <w:rFonts w:hint="eastAsia" w:ascii="仿宋" w:hAnsi="仿宋" w:eastAsia="仿宋" w:cs="仿宋"/>
          <w:b w:val="0"/>
          <w:bCs/>
          <w:color w:val="000000"/>
          <w:sz w:val="32"/>
          <w:szCs w:val="32"/>
          <w:lang w:val="en-US" w:eastAsia="zh-CN"/>
        </w:rPr>
        <w:t>编制</w:t>
      </w:r>
      <w:r>
        <w:rPr>
          <w:rFonts w:hint="eastAsia" w:ascii="仿宋_GB2312" w:hAnsi="仿宋_GB2312" w:eastAsia="仿宋_GB2312" w:cs="仿宋_GB2312"/>
          <w:b w:val="0"/>
          <w:bCs w:val="0"/>
          <w:sz w:val="32"/>
          <w:szCs w:val="32"/>
          <w:lang w:val="en-US" w:eastAsia="zh-CN"/>
        </w:rPr>
        <w:t>活动前三年内，在经营活动中没有重大违法记录的</w:t>
      </w:r>
      <w:r>
        <w:rPr>
          <w:rFonts w:hint="eastAsia" w:ascii="仿宋_GB2312" w:hAnsi="仿宋_GB2312" w:eastAsia="仿宋_GB2312" w:cs="仿宋_GB2312"/>
          <w:b w:val="0"/>
          <w:bCs w:val="0"/>
          <w:sz w:val="32"/>
          <w:szCs w:val="32"/>
          <w:u w:val="single"/>
          <w:lang w:val="en-US" w:eastAsia="zh-CN"/>
        </w:rPr>
        <w:t>承诺书</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（3）提供公司主要管理及其直系亲属未在会昌县恒茂建设发展集团有限责任公司从业的</w:t>
      </w:r>
      <w:r>
        <w:rPr>
          <w:rFonts w:hint="eastAsia" w:ascii="仿宋_GB2312" w:hAnsi="仿宋_GB2312" w:eastAsia="仿宋_GB2312" w:cs="仿宋_GB2312"/>
          <w:b w:val="0"/>
          <w:bCs w:val="0"/>
          <w:sz w:val="32"/>
          <w:szCs w:val="32"/>
          <w:u w:val="single"/>
          <w:lang w:val="en-US" w:eastAsia="zh-CN"/>
        </w:rPr>
        <w:t>承诺书</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1.5、中标公示1天后3天内签订合同，签订合同后开展工作。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原则上符合报价文件且在同等条件下以报价最优惠的单位为中标单位，由集团询价小组共同确认，最终报集团三重一大会议确定。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开展项目的环境</w:t>
      </w:r>
      <w:r>
        <w:rPr>
          <w:rFonts w:hint="eastAsia" w:ascii="仿宋" w:hAnsi="仿宋" w:eastAsia="仿宋" w:cs="仿宋"/>
          <w:b w:val="0"/>
          <w:bCs/>
          <w:color w:val="000000"/>
          <w:sz w:val="32"/>
          <w:szCs w:val="32"/>
          <w:lang w:eastAsia="zh-CN"/>
        </w:rPr>
        <w:t>影响评价等事宜</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eastAsia" w:ascii="仿宋_GB2312" w:hAnsi="仿宋_GB2312" w:eastAsia="仿宋_GB2312" w:cs="仿宋_GB2312"/>
          <w:b/>
          <w:bCs/>
          <w:color w:val="000000"/>
          <w:sz w:val="30"/>
          <w:szCs w:val="30"/>
          <w:u w:val="single"/>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bCs/>
          <w:color w:val="000000"/>
          <w:sz w:val="30"/>
          <w:szCs w:val="30"/>
          <w:u w:val="single"/>
          <w:lang w:val="en-US" w:eastAsia="zh-CN"/>
        </w:rPr>
        <w:t>本项且由206 公路改建项目及公路沿线配套设施项目组成，两项目分别立项，共同设计实施，项目用地面积约800亩。</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公路项目：路线起于瑞金与会昌交界处，与现状 G206 国道</w:t>
      </w:r>
    </w:p>
    <w:p>
      <w:pPr>
        <w:numPr>
          <w:ilvl w:val="0"/>
          <w:numId w:val="0"/>
        </w:numPr>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相接，从城北片区沿济广高速公路西侧边缘布线，路线走向基本为南北方向，终于九州大道与省道 S217 线交叉口处。路线全长约 7.55 公里（含利用段2.35公里），同步建设必要的交通工程和沿线设施，项目采用一级公路技术标准建设;设计时速 80公里/小时;起点至与同济大道交叉(K2024+260-K2025+360 ）及环城南路至终点段（K2030+795 -K2031+812.1）路基宽度25.5米，同济大道至环城南路段（K2025+360-K2030+795)，含利用段2.35公里,路基宽度 31.5米。</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配套设施项目：沿 G206 会昌县珠高寨至九州段两侧对称新</w:t>
      </w:r>
    </w:p>
    <w:p>
      <w:pPr>
        <w:numPr>
          <w:ilvl w:val="0"/>
          <w:numId w:val="0"/>
        </w:numPr>
        <w:jc w:val="left"/>
        <w:rPr>
          <w:rFonts w:hint="default"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建侧向绿化分隔带、辅道及人行道、排水与管线工程、路面附属工程等，起点至与汉仙大道相接 (K2024+260-K2027+715) 两侧对称新建侧向绿化分隔带宽4 米，非机动车道宽8米，人行道宽5米；汉仙大道与环城南路相接 (K2030+065-K2030+795)两侧对称新建侧向绿化分隔带宽 4米，非机动车道完8米，人行道宽5米；环城南路段至终点段（K2030+795-K2031+812.1）两侧对称新建人行道宽7.25米。</w:t>
      </w:r>
    </w:p>
    <w:p>
      <w:pPr>
        <w:numPr>
          <w:ilvl w:val="0"/>
          <w:numId w:val="0"/>
        </w:numPr>
        <w:ind w:firstLine="600" w:firstLineChars="200"/>
        <w:jc w:val="left"/>
        <w:rPr>
          <w:rFonts w:hint="default" w:ascii="仿宋_GB2312" w:hAnsi="仿宋_GB2312" w:eastAsia="仿宋_GB2312" w:cs="仿宋_GB2312"/>
          <w:color w:val="000000"/>
          <w:sz w:val="30"/>
          <w:szCs w:val="30"/>
          <w:lang w:val="en-US" w:eastAsia="zh-CN"/>
        </w:rPr>
      </w:pPr>
    </w:p>
    <w:p>
      <w:pPr>
        <w:numPr>
          <w:ilvl w:val="0"/>
          <w:numId w:val="0"/>
        </w:numPr>
        <w:jc w:val="left"/>
        <w:rPr>
          <w:rFonts w:hint="eastAsia" w:ascii="仿宋_GB2312" w:hAnsi="仿宋_GB2312" w:eastAsia="仿宋_GB2312" w:cs="仿宋_GB2312"/>
          <w:b w:val="0"/>
          <w:bCs w:val="0"/>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五、招标控制价</w:t>
      </w:r>
    </w:p>
    <w:p>
      <w:pPr>
        <w:numPr>
          <w:ilvl w:val="0"/>
          <w:numId w:val="0"/>
        </w:numPr>
        <w:jc w:val="left"/>
        <w:rPr>
          <w:rFonts w:hint="eastAsia" w:ascii="宋体" w:hAnsi="宋体" w:cs="宋体"/>
          <w:b/>
          <w:bCs w:val="0"/>
          <w:color w:val="000000"/>
          <w:kern w:val="0"/>
          <w:sz w:val="36"/>
          <w:szCs w:val="36"/>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8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5"/>
        <w:gridCol w:w="1840"/>
        <w:gridCol w:w="111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5"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84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11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仿宋" w:hAnsi="仿宋" w:eastAsia="仿宋" w:cs="仿宋"/>
                <w:sz w:val="28"/>
                <w:szCs w:val="28"/>
                <w:vertAlign w:val="baseline"/>
                <w:lang w:eastAsia="zh-CN"/>
              </w:rPr>
              <w:t>单位</w:t>
            </w:r>
          </w:p>
        </w:tc>
        <w:tc>
          <w:tcPr>
            <w:tcW w:w="1110" w:type="dxa"/>
            <w:vAlign w:val="center"/>
          </w:tcPr>
          <w:p>
            <w:pPr>
              <w:pStyle w:val="4"/>
              <w:ind w:left="0" w:leftChars="0" w:firstLine="0" w:firstLine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055"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val="0"/>
                <w:sz w:val="28"/>
                <w:szCs w:val="28"/>
                <w:vertAlign w:val="baseline"/>
                <w:lang w:val="en-US" w:eastAsia="zh-CN"/>
              </w:rPr>
              <w:t>G206会昌县珠高寨至九州段公路改建工程项目</w:t>
            </w:r>
            <w:r>
              <w:rPr>
                <w:rFonts w:hint="eastAsia" w:ascii="仿宋" w:hAnsi="仿宋" w:eastAsia="仿宋" w:cs="仿宋"/>
                <w:sz w:val="28"/>
                <w:szCs w:val="28"/>
                <w:vertAlign w:val="baseline"/>
                <w:lang w:val="en-US" w:eastAsia="zh-CN"/>
              </w:rPr>
              <w:t>环境影响评价</w:t>
            </w:r>
          </w:p>
        </w:tc>
        <w:tc>
          <w:tcPr>
            <w:tcW w:w="1840" w:type="dxa"/>
            <w:vMerge w:val="restart"/>
            <w:vAlign w:val="center"/>
          </w:tcPr>
          <w:p>
            <w:pPr>
              <w:pStyle w:val="4"/>
              <w:ind w:left="0" w:leftChars="0" w:firstLine="0" w:firstLineChars="0"/>
              <w:jc w:val="center"/>
              <w:rPr>
                <w:rFonts w:hint="default" w:ascii="仿宋" w:hAnsi="仿宋" w:eastAsia="仿宋" w:cs="仿宋"/>
                <w:color w:val="FF0000"/>
                <w:sz w:val="28"/>
                <w:szCs w:val="28"/>
                <w:vertAlign w:val="baseline"/>
                <w:lang w:val="en-US" w:eastAsia="zh-CN"/>
              </w:rPr>
            </w:pPr>
            <w:r>
              <w:rPr>
                <w:rFonts w:hint="eastAsia" w:ascii="仿宋" w:hAnsi="仿宋" w:eastAsia="仿宋" w:cs="仿宋"/>
                <w:color w:val="auto"/>
                <w:sz w:val="28"/>
                <w:szCs w:val="28"/>
                <w:highlight w:val="none"/>
                <w:vertAlign w:val="baseline"/>
                <w:lang w:val="en-US" w:eastAsia="zh-CN"/>
              </w:rPr>
              <w:t>19.8</w:t>
            </w:r>
          </w:p>
        </w:tc>
        <w:tc>
          <w:tcPr>
            <w:tcW w:w="1110" w:type="dxa"/>
            <w:vMerge w:val="restart"/>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sz w:val="28"/>
                <w:szCs w:val="28"/>
                <w:vertAlign w:val="baseline"/>
                <w:lang w:val="en-US" w:eastAsia="zh-CN"/>
              </w:rPr>
              <w:t>万元</w:t>
            </w:r>
          </w:p>
        </w:tc>
        <w:tc>
          <w:tcPr>
            <w:tcW w:w="1110" w:type="dxa"/>
            <w:vMerge w:val="restart"/>
            <w:vAlign w:val="center"/>
          </w:tcPr>
          <w:p>
            <w:pPr>
              <w:pStyle w:val="4"/>
              <w:ind w:left="0" w:leftChars="0" w:firstLine="0" w:firstLineChars="0"/>
              <w:jc w:val="center"/>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最高</w:t>
            </w:r>
            <w:bookmarkStart w:id="5" w:name="_GoBack"/>
            <w:bookmarkEnd w:id="5"/>
            <w:r>
              <w:rPr>
                <w:rFonts w:hint="eastAsia" w:ascii="仿宋" w:hAnsi="仿宋" w:eastAsia="仿宋" w:cs="仿宋"/>
                <w:b w:val="0"/>
                <w:bCs w:val="0"/>
                <w:sz w:val="28"/>
                <w:szCs w:val="28"/>
                <w:vertAlign w:val="baseline"/>
                <w:lang w:val="en-US" w:eastAsia="zh-CN"/>
              </w:rPr>
              <w:t>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055"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G206会昌县珠高寨至九州段公路沿线配套设施建设项目</w:t>
            </w:r>
            <w:r>
              <w:rPr>
                <w:rFonts w:hint="eastAsia" w:ascii="仿宋" w:hAnsi="仿宋" w:eastAsia="仿宋" w:cs="仿宋"/>
                <w:sz w:val="28"/>
                <w:szCs w:val="28"/>
                <w:vertAlign w:val="baseline"/>
                <w:lang w:val="en-US" w:eastAsia="zh-CN"/>
              </w:rPr>
              <w:t>环境影响评价</w:t>
            </w:r>
          </w:p>
        </w:tc>
        <w:tc>
          <w:tcPr>
            <w:tcW w:w="1840" w:type="dxa"/>
            <w:vMerge w:val="continue"/>
            <w:vAlign w:val="center"/>
          </w:tcPr>
          <w:p>
            <w:pPr>
              <w:pStyle w:val="4"/>
              <w:ind w:left="0" w:leftChars="0" w:firstLine="0" w:firstLineChars="0"/>
              <w:jc w:val="center"/>
              <w:rPr>
                <w:rFonts w:hint="eastAsia" w:ascii="仿宋" w:hAnsi="仿宋" w:eastAsia="仿宋" w:cs="仿宋"/>
                <w:color w:val="000000"/>
                <w:sz w:val="28"/>
                <w:szCs w:val="28"/>
                <w:vertAlign w:val="baseline"/>
                <w:lang w:val="en-US" w:eastAsia="zh-CN"/>
              </w:rPr>
            </w:pPr>
          </w:p>
        </w:tc>
        <w:tc>
          <w:tcPr>
            <w:tcW w:w="1110" w:type="dxa"/>
            <w:vMerge w:val="continue"/>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110" w:type="dxa"/>
            <w:vMerge w:val="continue"/>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p>
        </w:tc>
      </w:tr>
    </w:tbl>
    <w:p>
      <w:pPr>
        <w:widowControl/>
        <w:spacing w:line="500" w:lineRule="exact"/>
        <w:jc w:val="both"/>
        <w:rPr>
          <w:rFonts w:hint="eastAsia" w:ascii="宋体" w:hAnsi="宋体" w:cs="宋体"/>
          <w:b w:val="0"/>
          <w:bCs/>
          <w:color w:val="000000"/>
          <w:kern w:val="0"/>
          <w:sz w:val="32"/>
          <w:szCs w:val="32"/>
          <w:lang w:val="en-US" w:eastAsia="zh-CN"/>
        </w:rPr>
      </w:pPr>
    </w:p>
    <w:p>
      <w:pPr>
        <w:widowControl/>
        <w:spacing w:line="500" w:lineRule="exact"/>
        <w:ind w:firstLine="722"/>
        <w:jc w:val="both"/>
        <w:rPr>
          <w:rFonts w:hint="default" w:ascii="宋体" w:hAnsi="宋体" w:cs="宋体"/>
          <w:b w:val="0"/>
          <w:bCs/>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cs="宋体"/>
          <w:b w:val="0"/>
          <w:bCs/>
          <w:color w:val="000000"/>
          <w:kern w:val="0"/>
          <w:sz w:val="32"/>
          <w:szCs w:val="32"/>
          <w:lang w:val="en-US" w:eastAsia="zh-CN"/>
        </w:rPr>
        <w:t>注意事项：投标报价超出控制价的视为无效投标。</w:t>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8"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环境影响评价</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我公司已在报价前已充分进行了现场踏勘、测量、风险评估、工期提前等所有风险，上述报价包含项目环境影响评价等相关费用并按项目实际情况和设计图纸要求提交以上报价。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2ZDQzNDhiNWFkMjlmZDA2OGQ1YjUwNDRhODk0MWQifQ=="/>
  </w:docVars>
  <w:rsids>
    <w:rsidRoot w:val="00000000"/>
    <w:rsid w:val="0394658D"/>
    <w:rsid w:val="06C0204E"/>
    <w:rsid w:val="096D61C8"/>
    <w:rsid w:val="09D94AF6"/>
    <w:rsid w:val="0B2D1730"/>
    <w:rsid w:val="0F6B4008"/>
    <w:rsid w:val="11D460EA"/>
    <w:rsid w:val="121A75C0"/>
    <w:rsid w:val="12DD7EA1"/>
    <w:rsid w:val="15B7218A"/>
    <w:rsid w:val="1A99151C"/>
    <w:rsid w:val="1CBD66FD"/>
    <w:rsid w:val="1CD96EB4"/>
    <w:rsid w:val="22C43CA5"/>
    <w:rsid w:val="2FF46872"/>
    <w:rsid w:val="354D5A8E"/>
    <w:rsid w:val="369D236E"/>
    <w:rsid w:val="383D6F49"/>
    <w:rsid w:val="3C8A7EBB"/>
    <w:rsid w:val="41E77C61"/>
    <w:rsid w:val="42585F79"/>
    <w:rsid w:val="4D46449D"/>
    <w:rsid w:val="4D9F479C"/>
    <w:rsid w:val="55CC55BF"/>
    <w:rsid w:val="759913CB"/>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1820</Words>
  <Characters>2041</Characters>
  <Paragraphs>155</Paragraphs>
  <TotalTime>12</TotalTime>
  <ScaleCrop>false</ScaleCrop>
  <LinksUpToDate>false</LinksUpToDate>
  <CharactersWithSpaces>2152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木兆</cp:lastModifiedBy>
  <cp:lastPrinted>2023-06-20T09:05:00Z</cp:lastPrinted>
  <dcterms:modified xsi:type="dcterms:W3CDTF">2023-06-21T09:33:05Z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D5686C311FAE457A99D700CBCB49C080</vt:lpwstr>
  </property>
</Properties>
</file>