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bookmarkStart w:id="0" w:name="_Toc512011785"/>
      <w:bookmarkStart w:id="1" w:name="_Toc439447799"/>
      <w:bookmarkStart w:id="2" w:name="_Toc261477746"/>
      <w:r>
        <w:rPr>
          <w:rFonts w:hint="eastAsia" w:ascii="仿宋" w:hAnsi="仿宋" w:eastAsia="仿宋" w:cs="仿宋"/>
          <w:b/>
          <w:sz w:val="36"/>
          <w:szCs w:val="36"/>
          <w:u w:val="none"/>
          <w:lang w:val="en-US" w:eastAsia="zh-CN"/>
        </w:rPr>
        <w:t>G206会昌县珠高寨至九州段公路改建工程及沿线配套设施建设</w:t>
      </w:r>
      <w:bookmarkEnd w:id="0"/>
      <w:bookmarkEnd w:id="1"/>
      <w:bookmarkEnd w:id="2"/>
      <w:r>
        <w:rPr>
          <w:rFonts w:hint="eastAsia" w:ascii="仿宋" w:hAnsi="仿宋" w:eastAsia="仿宋" w:cs="仿宋"/>
          <w:b/>
          <w:sz w:val="36"/>
          <w:szCs w:val="36"/>
          <w:u w:val="none"/>
          <w:lang w:val="en-US" w:eastAsia="zh-CN"/>
        </w:rPr>
        <w:t>项目环境</w:t>
      </w:r>
      <w:r>
        <w:rPr>
          <w:rFonts w:hint="eastAsia" w:ascii="仿宋" w:hAnsi="仿宋" w:eastAsia="仿宋" w:cs="仿宋"/>
          <w:b/>
          <w:sz w:val="36"/>
          <w:szCs w:val="36"/>
          <w:u w:val="none"/>
          <w:lang w:eastAsia="zh-CN"/>
        </w:rPr>
        <w:t>影响评价工作询价公告</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一、报价人须知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项号</w:t>
            </w:r>
          </w:p>
        </w:tc>
        <w:tc>
          <w:tcPr>
            <w:tcW w:w="1629"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内 容</w:t>
            </w:r>
          </w:p>
        </w:tc>
        <w:tc>
          <w:tcPr>
            <w:tcW w:w="7020" w:type="dxa"/>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招标人</w:t>
            </w:r>
          </w:p>
        </w:tc>
        <w:tc>
          <w:tcPr>
            <w:tcW w:w="7020" w:type="dxa"/>
            <w:vAlign w:val="center"/>
          </w:tcPr>
          <w:p>
            <w:pPr>
              <w:jc w:val="center"/>
              <w:rPr>
                <w:rFonts w:hint="eastAsia" w:ascii="仿宋" w:hAnsi="仿宋" w:eastAsia="仿宋" w:cs="仿宋"/>
                <w:b w:val="0"/>
                <w:bCs/>
                <w:sz w:val="30"/>
                <w:szCs w:val="30"/>
                <w:u w:val="none"/>
                <w:lang w:val="en-US" w:eastAsia="zh-CN"/>
              </w:rPr>
            </w:pPr>
            <w:r>
              <w:rPr>
                <w:rFonts w:hint="eastAsia" w:ascii="仿宋" w:hAnsi="仿宋" w:eastAsia="仿宋" w:cs="仿宋"/>
                <w:b w:val="0"/>
                <w:bCs/>
                <w:sz w:val="30"/>
                <w:szCs w:val="30"/>
                <w:u w:val="none"/>
                <w:lang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2</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项目名称</w:t>
            </w:r>
          </w:p>
        </w:tc>
        <w:tc>
          <w:tcPr>
            <w:tcW w:w="7020" w:type="dxa"/>
            <w:vAlign w:val="center"/>
          </w:tcPr>
          <w:p>
            <w:pPr>
              <w:spacing w:line="700" w:lineRule="exact"/>
              <w:jc w:val="center"/>
              <w:rPr>
                <w:rFonts w:hint="default" w:ascii="仿宋" w:hAnsi="仿宋" w:eastAsia="仿宋_GB2312"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G206会昌县珠高寨至九州段公路改建工程及沿线配套设施建设项目环境</w:t>
            </w:r>
            <w:r>
              <w:rPr>
                <w:rFonts w:hint="eastAsia" w:ascii="仿宋" w:hAnsi="仿宋" w:eastAsia="仿宋" w:cs="仿宋"/>
                <w:b w:val="0"/>
                <w:bCs/>
                <w:sz w:val="30"/>
                <w:szCs w:val="30"/>
                <w:u w:val="none"/>
                <w:lang w:eastAsia="zh-CN"/>
              </w:rPr>
              <w:t>影响评价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3</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项目地点</w:t>
            </w:r>
          </w:p>
        </w:tc>
        <w:tc>
          <w:tcPr>
            <w:tcW w:w="7020" w:type="dxa"/>
            <w:vAlign w:val="center"/>
          </w:tcPr>
          <w:p>
            <w:pPr>
              <w:jc w:val="center"/>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4</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招标范围</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lang w:val="en-US" w:eastAsia="zh-CN"/>
              </w:rPr>
              <w:t>G206会昌县珠高寨至九州段公路改建工程及沿线配套设施建设项目环境</w:t>
            </w:r>
            <w:r>
              <w:rPr>
                <w:rFonts w:hint="eastAsia" w:ascii="仿宋" w:hAnsi="仿宋" w:eastAsia="仿宋" w:cs="仿宋"/>
                <w:b w:val="0"/>
                <w:bCs/>
                <w:sz w:val="30"/>
                <w:szCs w:val="30"/>
                <w:u w:val="none"/>
                <w:lang w:eastAsia="zh-CN"/>
              </w:rPr>
              <w:t>影响评价</w:t>
            </w:r>
            <w:r>
              <w:rPr>
                <w:rFonts w:hint="eastAsia" w:ascii="仿宋" w:hAnsi="仿宋" w:eastAsia="仿宋" w:cs="仿宋"/>
                <w:b w:val="0"/>
                <w:bCs w:val="0"/>
                <w:sz w:val="30"/>
                <w:szCs w:val="30"/>
                <w:vertAlign w:val="baseline"/>
                <w:lang w:val="en-US" w:eastAsia="zh-CN"/>
              </w:rPr>
              <w:t>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5</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资金来源</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sz w:val="30"/>
                <w:szCs w:val="30"/>
                <w:u w:val="none"/>
              </w:rPr>
              <w:t>一般债券资金</w:t>
            </w:r>
            <w:r>
              <w:rPr>
                <w:rFonts w:hint="eastAsia" w:ascii="仿宋" w:hAnsi="仿宋" w:eastAsia="仿宋" w:cs="仿宋"/>
                <w:b w:val="0"/>
                <w:bCs/>
                <w:sz w:val="30"/>
                <w:szCs w:val="30"/>
                <w:u w:val="none"/>
                <w:lang w:eastAsia="zh-CN"/>
              </w:rPr>
              <w:t>、地方财政</w:t>
            </w:r>
            <w:r>
              <w:rPr>
                <w:rFonts w:hint="eastAsia" w:ascii="仿宋" w:hAnsi="仿宋" w:eastAsia="仿宋" w:cs="仿宋"/>
                <w:b w:val="0"/>
                <w:bCs/>
                <w:sz w:val="30"/>
                <w:szCs w:val="30"/>
                <w:u w:val="none"/>
              </w:rPr>
              <w:t>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6</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工艺要求</w:t>
            </w:r>
          </w:p>
        </w:tc>
        <w:tc>
          <w:tcPr>
            <w:tcW w:w="7020" w:type="dxa"/>
            <w:vAlign w:val="center"/>
          </w:tcPr>
          <w:p>
            <w:pPr>
              <w:numPr>
                <w:ilvl w:val="0"/>
                <w:numId w:val="0"/>
              </w:numPr>
              <w:jc w:val="both"/>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按建设项目环境保护管理法律、法规和环境影响评价有关技术规范、导则、标准编制环境影响评价报告。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7</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工期要求</w:t>
            </w:r>
          </w:p>
        </w:tc>
        <w:tc>
          <w:tcPr>
            <w:tcW w:w="7020"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val="0"/>
                <w:bCs w:val="0"/>
                <w:sz w:val="30"/>
                <w:szCs w:val="30"/>
                <w:vertAlign w:val="baseline"/>
                <w:lang w:val="en-US" w:eastAsia="zh-CN"/>
              </w:rPr>
              <w:t>总工期25天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8</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报名时间</w:t>
            </w:r>
          </w:p>
        </w:tc>
        <w:tc>
          <w:tcPr>
            <w:tcW w:w="7020" w:type="dxa"/>
            <w:vAlign w:val="center"/>
          </w:tcPr>
          <w:p>
            <w:pPr>
              <w:jc w:val="center"/>
              <w:rPr>
                <w:rFonts w:hint="default" w:ascii="仿宋" w:hAnsi="仿宋" w:eastAsia="仿宋" w:cs="仿宋"/>
                <w:b w:val="0"/>
                <w:bCs w:val="0"/>
                <w:color w:val="FF000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2023年6月15日至2023年6月19日上午9点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9</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计价方式</w:t>
            </w:r>
          </w:p>
        </w:tc>
        <w:tc>
          <w:tcPr>
            <w:tcW w:w="7020"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color w:val="000000"/>
                <w:sz w:val="30"/>
                <w:szCs w:val="30"/>
                <w:vertAlign w:val="baseline"/>
                <w:lang w:val="en-US" w:eastAsia="zh-CN"/>
              </w:rPr>
              <w:t>固定总价包干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1" w:hRule="atLeast"/>
        </w:trPr>
        <w:tc>
          <w:tcPr>
            <w:tcW w:w="946" w:type="dxa"/>
            <w:vAlign w:val="center"/>
          </w:tcPr>
          <w:p>
            <w:pPr>
              <w:jc w:val="center"/>
              <w:rPr>
                <w:rFonts w:hint="default" w:ascii="仿宋" w:hAnsi="仿宋" w:eastAsia="仿宋" w:cs="仿宋"/>
                <w:b/>
                <w:bCs/>
                <w:sz w:val="30"/>
                <w:szCs w:val="30"/>
                <w:vertAlign w:val="baseline"/>
                <w:lang w:val="en-US" w:eastAsia="zh-CN"/>
              </w:rPr>
            </w:pPr>
            <w:r>
              <w:rPr>
                <w:rFonts w:hint="eastAsia" w:ascii="仿宋" w:hAnsi="仿宋" w:eastAsia="仿宋" w:cs="仿宋"/>
                <w:b/>
                <w:bCs/>
                <w:sz w:val="30"/>
                <w:szCs w:val="30"/>
                <w:vertAlign w:val="baseline"/>
                <w:lang w:val="en-US" w:eastAsia="zh-CN"/>
              </w:rPr>
              <w:t>10</w:t>
            </w:r>
          </w:p>
        </w:tc>
        <w:tc>
          <w:tcPr>
            <w:tcW w:w="1629" w:type="dxa"/>
            <w:vAlign w:val="center"/>
          </w:tcPr>
          <w:p>
            <w:pPr>
              <w:jc w:val="center"/>
              <w:rPr>
                <w:rFonts w:hint="eastAsia"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联系人及提交报价材料地点</w:t>
            </w:r>
          </w:p>
        </w:tc>
        <w:tc>
          <w:tcPr>
            <w:tcW w:w="7020" w:type="dxa"/>
            <w:vAlign w:val="center"/>
          </w:tcPr>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招标联系人：陈永鸿  15979096733 提交报价材料地点：会昌县商会大厦十楼工程部。</w:t>
            </w:r>
          </w:p>
          <w:p>
            <w:pPr>
              <w:jc w:val="both"/>
              <w:rPr>
                <w:rFonts w:hint="default" w:ascii="仿宋" w:hAnsi="仿宋" w:eastAsia="仿宋" w:cs="仿宋"/>
                <w:b w:val="0"/>
                <w:bCs w:val="0"/>
                <w:sz w:val="30"/>
                <w:szCs w:val="30"/>
                <w:vertAlign w:val="baseline"/>
                <w:lang w:val="en-US" w:eastAsia="zh-CN"/>
              </w:rPr>
            </w:pPr>
            <w:r>
              <w:rPr>
                <w:rFonts w:hint="eastAsia" w:ascii="仿宋" w:hAnsi="仿宋" w:eastAsia="仿宋" w:cs="仿宋"/>
                <w:b w:val="0"/>
                <w:bCs w:val="0"/>
                <w:sz w:val="30"/>
                <w:szCs w:val="30"/>
                <w:vertAlign w:val="baseline"/>
                <w:lang w:val="en-US" w:eastAsia="zh-CN"/>
              </w:rPr>
              <w:t>需要相关材料及勘察项目现场的请联系招标联系人，并在报名有效期内提交报价材料。</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1、报价要求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1.1、投标价格为固定总价，投标单位报价后我公司即视为报价方在报价前已充分进行了现场踏勘、考虑了风险评估及工期提前等所有风险。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开户许可证复印件、委托书及被委托人身份证复印件，复印件均需加盖公章，所有材料必须进行封装并加盖公章，否则无效。</w:t>
      </w:r>
    </w:p>
    <w:p>
      <w:pPr>
        <w:numPr>
          <w:ilvl w:val="0"/>
          <w:numId w:val="0"/>
        </w:numPr>
        <w:ind w:firstLine="643"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2、承包内容：</w:t>
      </w:r>
    </w:p>
    <w:p>
      <w:pPr>
        <w:numPr>
          <w:ilvl w:val="0"/>
          <w:numId w:val="0"/>
        </w:numPr>
        <w:ind w:firstLine="640"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开展项目的环境</w:t>
      </w:r>
      <w:r>
        <w:rPr>
          <w:rFonts w:hint="eastAsia" w:ascii="仿宋" w:hAnsi="仿宋" w:eastAsia="仿宋" w:cs="仿宋"/>
          <w:b w:val="0"/>
          <w:bCs/>
          <w:color w:val="000000"/>
          <w:sz w:val="32"/>
          <w:szCs w:val="32"/>
          <w:lang w:eastAsia="zh-CN"/>
        </w:rPr>
        <w:t>影响评价等事宜</w:t>
      </w:r>
      <w:r>
        <w:rPr>
          <w:rFonts w:hint="eastAsia" w:ascii="仿宋" w:hAnsi="仿宋" w:eastAsia="仿宋" w:cs="仿宋"/>
          <w:b w:val="0"/>
          <w:bCs w:val="0"/>
          <w:sz w:val="32"/>
          <w:szCs w:val="32"/>
          <w:vertAlign w:val="baseline"/>
          <w:lang w:val="en-US" w:eastAsia="zh-CN"/>
        </w:rPr>
        <w:t>。</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三、报价文件递交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2、封装袋上可写明报价人名称和联系方式。</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3、报价人应在规定时间前将投标文件递交到指定地点。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四、潜在投标人报价需知</w:t>
      </w:r>
    </w:p>
    <w:p>
      <w:pPr>
        <w:numPr>
          <w:ilvl w:val="0"/>
          <w:numId w:val="0"/>
        </w:numPr>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1、本次报价结果仅作为最高限价；</w:t>
      </w:r>
    </w:p>
    <w:p>
      <w:pPr>
        <w:numPr>
          <w:ilvl w:val="0"/>
          <w:numId w:val="0"/>
        </w:numPr>
        <w:ind w:firstLine="640" w:firstLineChars="200"/>
        <w:jc w:val="left"/>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2、询价单位不会公布任何报价内容和询价结果；</w:t>
      </w:r>
    </w:p>
    <w:p>
      <w:pPr>
        <w:numPr>
          <w:ilvl w:val="0"/>
          <w:numId w:val="0"/>
        </w:numPr>
        <w:ind w:left="638" w:leftChars="304" w:firstLine="0" w:firstLineChars="0"/>
        <w:jc w:val="left"/>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3、询价单位不承担可能发生的一切法律责任、费用和后果；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五、项目概况</w:t>
      </w:r>
    </w:p>
    <w:p>
      <w:pPr>
        <w:numPr>
          <w:ilvl w:val="0"/>
          <w:numId w:val="0"/>
        </w:numPr>
        <w:ind w:firstLine="640" w:firstLineChars="200"/>
        <w:jc w:val="left"/>
        <w:rPr>
          <w:rFonts w:hint="eastAsia" w:ascii="仿宋_GB2312" w:hAnsi="仿宋_GB2312" w:eastAsia="仿宋_GB2312" w:cs="仿宋_GB2312"/>
          <w:b/>
          <w:bCs/>
          <w:color w:val="000000"/>
          <w:sz w:val="30"/>
          <w:szCs w:val="30"/>
          <w:u w:val="single"/>
          <w:lang w:val="en-US" w:eastAsia="zh-CN"/>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bCs/>
          <w:color w:val="000000"/>
          <w:sz w:val="30"/>
          <w:szCs w:val="30"/>
          <w:u w:val="single"/>
          <w:lang w:val="en-US" w:eastAsia="zh-CN"/>
        </w:rPr>
        <w:t>本项且由206 公路改建项目及公路沿线配套设施项目组成，两项目分别立项，共同设计实施，项目用地面积约800亩。</w:t>
      </w:r>
    </w:p>
    <w:p>
      <w:pPr>
        <w:numPr>
          <w:ilvl w:val="0"/>
          <w:numId w:val="0"/>
        </w:numPr>
        <w:ind w:firstLine="600" w:firstLineChars="200"/>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公路项目：路线起于瑞金与会昌交界处，与现状 G206 国道</w:t>
      </w:r>
    </w:p>
    <w:p>
      <w:pPr>
        <w:numPr>
          <w:ilvl w:val="0"/>
          <w:numId w:val="0"/>
        </w:numPr>
        <w:jc w:val="left"/>
        <w:rPr>
          <w:rFonts w:hint="eastAsia"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相接，从城北片区沿济广高速公路西侧边缘布线，路线走向基本为南北方向，终于九州大道与省道 S217 线交叉口处。路线全长约7.55 公里（含利用段2.35公里），同步建设必要的交通工程和沿线设施，项目采用一级公路技术标准建设;设计时速 80公里/小时;起点至与同济大道交叉(K2024+260-K2025+360 ）及环城南路至终点段（K2030+795 -K2031+812.1）路基宽度25.5米，同济大道至环城南路段（K2025+360-K2030+795)，含利用段2.35公里,路基宽度 31.5米。</w:t>
      </w:r>
    </w:p>
    <w:p>
      <w:pPr>
        <w:numPr>
          <w:ilvl w:val="0"/>
          <w:numId w:val="0"/>
        </w:numPr>
        <w:ind w:firstLine="600" w:firstLineChars="200"/>
        <w:jc w:val="left"/>
        <w:rPr>
          <w:rFonts w:hint="default" w:ascii="仿宋_GB2312" w:hAnsi="仿宋_GB2312" w:eastAsia="仿宋_GB2312" w:cs="仿宋_GB2312"/>
          <w:b w:val="0"/>
          <w:bCs w:val="0"/>
          <w:color w:val="000000"/>
          <w:sz w:val="30"/>
          <w:szCs w:val="30"/>
          <w:u w:val="none"/>
          <w:lang w:val="en-US" w:eastAsia="zh-CN"/>
        </w:rPr>
      </w:pPr>
      <w:r>
        <w:rPr>
          <w:rFonts w:hint="eastAsia" w:ascii="仿宋_GB2312" w:hAnsi="仿宋_GB2312" w:eastAsia="仿宋_GB2312" w:cs="仿宋_GB2312"/>
          <w:b w:val="0"/>
          <w:bCs w:val="0"/>
          <w:color w:val="000000"/>
          <w:sz w:val="30"/>
          <w:szCs w:val="30"/>
          <w:u w:val="none"/>
          <w:lang w:val="en-US" w:eastAsia="zh-CN"/>
        </w:rPr>
        <w:t>配套设施项目：沿 G206 会昌县珠高寨至九州段两侧对称新建侧向绿化分隔带、辅道及人行道、排水与管线工程、路面附属工程等，起点至与汉仙大道相接 (K2024+260-K2027+715) 两侧对称新建侧向绿化分隔带宽4 米，非机动车道宽8米，人行道宽5米；汉仙大道与环城南路相接 (K2030+065-K2030+795)两侧对称新建侧向绿化分隔带宽 4米，非机动车道完8米，人行道宽5米；环城南路段至终点段（K2030+795-K2031+812.1）两侧对称新建人行道宽7.25米。</w:t>
      </w:r>
    </w:p>
    <w:p>
      <w:pPr>
        <w:numPr>
          <w:ilvl w:val="0"/>
          <w:numId w:val="0"/>
        </w:numPr>
        <w:ind w:firstLine="600" w:firstLineChars="200"/>
        <w:jc w:val="left"/>
        <w:rPr>
          <w:rFonts w:hint="default" w:ascii="仿宋_GB2312" w:hAnsi="仿宋_GB2312" w:eastAsia="仿宋_GB2312" w:cs="仿宋_GB2312"/>
          <w:color w:val="000000"/>
          <w:sz w:val="30"/>
          <w:szCs w:val="30"/>
          <w:lang w:val="en-US" w:eastAsia="zh-CN"/>
        </w:rPr>
      </w:pPr>
      <w:bookmarkStart w:id="3" w:name="_GoBack"/>
      <w:bookmarkEnd w:id="3"/>
    </w:p>
    <w:p>
      <w:pPr>
        <w:numPr>
          <w:ilvl w:val="0"/>
          <w:numId w:val="0"/>
        </w:numPr>
        <w:jc w:val="left"/>
        <w:rPr>
          <w:rFonts w:hint="eastAsia" w:ascii="仿宋_GB2312" w:hAnsi="仿宋_GB2312" w:eastAsia="仿宋_GB2312" w:cs="仿宋_GB2312"/>
          <w:b w:val="0"/>
          <w:bCs w:val="0"/>
          <w:sz w:val="32"/>
          <w:szCs w:val="32"/>
          <w:lang w:val="en-US" w:eastAsia="zh-CN"/>
        </w:rPr>
      </w:pP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widowControl/>
        <w:spacing w:line="500" w:lineRule="exact"/>
        <w:ind w:firstLine="722"/>
        <w:jc w:val="both"/>
        <w:rPr>
          <w:rFonts w:hint="default" w:ascii="宋体" w:hAnsi="宋体" w:cs="宋体"/>
          <w:b w:val="0"/>
          <w:bCs/>
          <w:color w:val="000000"/>
          <w:kern w:val="0"/>
          <w:sz w:val="32"/>
          <w:szCs w:val="32"/>
          <w:lang w:val="en-US" w:eastAsia="zh-CN"/>
        </w:rPr>
        <w:sectPr>
          <w:pgSz w:w="11906" w:h="16838"/>
          <w:pgMar w:top="2041" w:right="1531" w:bottom="2041" w:left="1531" w:header="851" w:footer="992" w:gutter="0"/>
          <w:cols w:space="425" w:num="1"/>
          <w:docGrid w:type="lines" w:linePitch="312" w:charSpace="0"/>
        </w:sectPr>
      </w:pP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报价表</w:t>
      </w:r>
    </w:p>
    <w:tbl>
      <w:tblPr>
        <w:tblStyle w:val="7"/>
        <w:tblpPr w:leftFromText="180" w:rightFromText="180" w:vertAnchor="text" w:horzAnchor="page" w:tblpX="1470" w:tblpY="212"/>
        <w:tblOverlap w:val="never"/>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1800"/>
        <w:gridCol w:w="1365"/>
        <w:gridCol w:w="1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800"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编制类型</w:t>
            </w:r>
          </w:p>
        </w:tc>
        <w:tc>
          <w:tcPr>
            <w:tcW w:w="1365" w:type="dxa"/>
            <w:vAlign w:val="center"/>
          </w:tcPr>
          <w:p>
            <w:pPr>
              <w:pStyle w:val="4"/>
              <w:ind w:left="0" w:leftChars="0" w:firstLine="0" w:firstLineChars="0"/>
              <w:jc w:val="center"/>
              <w:rPr>
                <w:rFonts w:hint="eastAsia" w:ascii="楷体" w:hAnsi="楷体" w:eastAsia="楷体" w:cs="楷体"/>
                <w:sz w:val="28"/>
                <w:szCs w:val="28"/>
                <w:vertAlign w:val="baseline"/>
                <w:lang w:eastAsia="zh-CN"/>
              </w:rPr>
            </w:pPr>
            <w:r>
              <w:rPr>
                <w:rFonts w:hint="eastAsia" w:ascii="仿宋" w:hAnsi="仿宋" w:eastAsia="仿宋" w:cs="仿宋"/>
                <w:sz w:val="28"/>
                <w:szCs w:val="28"/>
                <w:vertAlign w:val="baseline"/>
                <w:lang w:eastAsia="zh-CN"/>
              </w:rPr>
              <w:t>投标报价（万元）</w:t>
            </w:r>
          </w:p>
        </w:tc>
        <w:tc>
          <w:tcPr>
            <w:tcW w:w="1557" w:type="dxa"/>
            <w:vAlign w:val="center"/>
          </w:tcPr>
          <w:p>
            <w:pPr>
              <w:pStyle w:val="4"/>
              <w:ind w:left="0" w:leftChars="0" w:firstLine="0" w:firstLine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345" w:type="dxa"/>
            <w:vAlign w:val="center"/>
          </w:tcPr>
          <w:p>
            <w:pPr>
              <w:pStyle w:val="4"/>
              <w:ind w:left="0" w:leftChars="0" w:firstLine="0" w:firstLineChars="0"/>
              <w:jc w:val="center"/>
              <w:rPr>
                <w:rFonts w:hint="eastAsia" w:ascii="仿宋" w:hAnsi="仿宋" w:eastAsia="仿宋" w:cs="仿宋"/>
                <w:sz w:val="28"/>
                <w:szCs w:val="28"/>
                <w:vertAlign w:val="baseline"/>
                <w:lang w:eastAsia="zh-CN"/>
              </w:rPr>
            </w:pPr>
            <w:r>
              <w:rPr>
                <w:rFonts w:hint="eastAsia" w:ascii="仿宋" w:hAnsi="仿宋" w:eastAsia="仿宋" w:cs="仿宋"/>
                <w:b w:val="0"/>
                <w:bCs w:val="0"/>
                <w:sz w:val="28"/>
                <w:szCs w:val="28"/>
                <w:vertAlign w:val="baseline"/>
                <w:lang w:val="en-US" w:eastAsia="zh-CN"/>
              </w:rPr>
              <w:t>G206会昌县珠高寨至九州段公路改建工程项目水土保持报告编制</w:t>
            </w:r>
          </w:p>
        </w:tc>
        <w:tc>
          <w:tcPr>
            <w:tcW w:w="1800" w:type="dxa"/>
            <w:vMerge w:val="restart"/>
            <w:vAlign w:val="center"/>
          </w:tcPr>
          <w:p>
            <w:pPr>
              <w:pStyle w:val="4"/>
              <w:ind w:left="0" w:leftChars="0" w:firstLine="0" w:firstLineChars="0"/>
              <w:jc w:val="center"/>
              <w:rPr>
                <w:rFonts w:hint="eastAsia" w:ascii="仿宋" w:hAnsi="仿宋" w:eastAsia="仿宋" w:cs="仿宋"/>
                <w:color w:val="FF0000"/>
                <w:sz w:val="28"/>
                <w:szCs w:val="28"/>
                <w:vertAlign w:val="baseline"/>
                <w:lang w:val="en-US" w:eastAsia="zh-CN"/>
              </w:rPr>
            </w:pPr>
            <w:r>
              <w:rPr>
                <w:rFonts w:hint="eastAsia" w:ascii="仿宋" w:hAnsi="仿宋" w:eastAsia="仿宋" w:cs="仿宋"/>
                <w:sz w:val="28"/>
                <w:szCs w:val="28"/>
                <w:vertAlign w:val="baseline"/>
                <w:lang w:val="en-US" w:eastAsia="zh-CN"/>
              </w:rPr>
              <w:t>环境影响评价</w:t>
            </w:r>
          </w:p>
        </w:tc>
        <w:tc>
          <w:tcPr>
            <w:tcW w:w="1365" w:type="dxa"/>
            <w:vMerge w:val="restart"/>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sz w:val="28"/>
                <w:szCs w:val="28"/>
                <w:vertAlign w:val="baseline"/>
                <w:lang w:val="en-US" w:eastAsia="zh-CN"/>
              </w:rPr>
              <w:t>万元</w:t>
            </w:r>
          </w:p>
        </w:tc>
        <w:tc>
          <w:tcPr>
            <w:tcW w:w="1557" w:type="dxa"/>
            <w:vMerge w:val="restart"/>
            <w:vAlign w:val="center"/>
          </w:tcPr>
          <w:p>
            <w:pPr>
              <w:pStyle w:val="4"/>
              <w:ind w:left="0" w:leftChars="0" w:firstLine="0" w:firstLineChars="0"/>
              <w:jc w:val="center"/>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固定总价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345" w:type="dxa"/>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G206会昌县珠高寨至九州段公路沿线配套设施建设项目水土保持报告编制</w:t>
            </w:r>
          </w:p>
        </w:tc>
        <w:tc>
          <w:tcPr>
            <w:tcW w:w="1800" w:type="dxa"/>
            <w:vMerge w:val="continue"/>
            <w:vAlign w:val="center"/>
          </w:tcPr>
          <w:p>
            <w:pPr>
              <w:pStyle w:val="4"/>
              <w:ind w:left="0" w:leftChars="0" w:firstLine="0" w:firstLineChars="0"/>
              <w:jc w:val="center"/>
              <w:rPr>
                <w:rFonts w:hint="eastAsia" w:ascii="仿宋" w:hAnsi="仿宋" w:eastAsia="仿宋" w:cs="仿宋"/>
                <w:color w:val="000000"/>
                <w:sz w:val="28"/>
                <w:szCs w:val="28"/>
                <w:vertAlign w:val="baseline"/>
                <w:lang w:val="en-US" w:eastAsia="zh-CN"/>
              </w:rPr>
            </w:pPr>
          </w:p>
        </w:tc>
        <w:tc>
          <w:tcPr>
            <w:tcW w:w="1365" w:type="dxa"/>
            <w:vMerge w:val="continue"/>
            <w:vAlign w:val="center"/>
          </w:tcPr>
          <w:p>
            <w:pPr>
              <w:pStyle w:val="4"/>
              <w:ind w:left="0" w:leftChars="0" w:firstLine="0" w:firstLineChars="0"/>
              <w:jc w:val="center"/>
              <w:rPr>
                <w:rFonts w:hint="eastAsia" w:ascii="仿宋" w:hAnsi="仿宋" w:eastAsia="仿宋" w:cs="仿宋"/>
                <w:sz w:val="28"/>
                <w:szCs w:val="28"/>
                <w:vertAlign w:val="baseline"/>
                <w:lang w:val="en-US" w:eastAsia="zh-CN"/>
              </w:rPr>
            </w:pPr>
          </w:p>
        </w:tc>
        <w:tc>
          <w:tcPr>
            <w:tcW w:w="1557" w:type="dxa"/>
            <w:vMerge w:val="continue"/>
            <w:vAlign w:val="center"/>
          </w:tcPr>
          <w:p>
            <w:pPr>
              <w:pStyle w:val="4"/>
              <w:ind w:left="0" w:leftChars="0" w:firstLine="0" w:firstLineChars="0"/>
              <w:jc w:val="center"/>
              <w:rPr>
                <w:rFonts w:hint="eastAsia" w:ascii="仿宋" w:hAnsi="仿宋" w:eastAsia="仿宋" w:cs="仿宋"/>
                <w:b w:val="0"/>
                <w:bCs w:val="0"/>
                <w:sz w:val="28"/>
                <w:szCs w:val="28"/>
                <w:vertAlign w:val="baseline"/>
                <w:lang w:val="en-US" w:eastAsia="zh-CN"/>
              </w:rPr>
            </w:pPr>
          </w:p>
        </w:tc>
      </w:tr>
    </w:tbl>
    <w:p>
      <w:pPr>
        <w:widowControl/>
        <w:spacing w:line="500" w:lineRule="exact"/>
        <w:jc w:val="both"/>
        <w:rPr>
          <w:rFonts w:hint="eastAsia" w:ascii="宋体" w:hAnsi="宋体" w:cs="宋体"/>
          <w:b w:val="0"/>
          <w:bCs/>
          <w:color w:val="000000"/>
          <w:kern w:val="0"/>
          <w:sz w:val="32"/>
          <w:szCs w:val="32"/>
          <w:lang w:val="en-US" w:eastAsia="zh-CN"/>
        </w:rPr>
      </w:pPr>
    </w:p>
    <w:p>
      <w:pPr>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我公司已在报价前已充分进行了现场踏勘、考虑了风险评估及工期提前等所有风险，上述报价包含</w:t>
      </w:r>
      <w:r>
        <w:rPr>
          <w:rFonts w:hint="eastAsia" w:ascii="仿宋" w:hAnsi="仿宋" w:eastAsia="仿宋" w:cs="仿宋"/>
          <w:b w:val="0"/>
          <w:bCs/>
          <w:color w:val="000000"/>
          <w:sz w:val="32"/>
          <w:szCs w:val="32"/>
          <w:lang w:eastAsia="zh-CN"/>
        </w:rPr>
        <w:t>水土保持报告书</w:t>
      </w:r>
      <w:r>
        <w:rPr>
          <w:rFonts w:hint="eastAsia" w:ascii="仿宋" w:hAnsi="仿宋" w:eastAsia="仿宋" w:cs="仿宋"/>
          <w:b w:val="0"/>
          <w:bCs/>
          <w:color w:val="000000"/>
          <w:sz w:val="32"/>
          <w:szCs w:val="32"/>
          <w:lang w:val="en-US" w:eastAsia="zh-CN"/>
        </w:rPr>
        <w:t>编制、评审等相关费用并</w:t>
      </w:r>
      <w:r>
        <w:rPr>
          <w:rFonts w:hint="eastAsia" w:ascii="仿宋_GB2312" w:hAnsi="仿宋_GB2312" w:eastAsia="仿宋_GB2312" w:cs="仿宋_GB2312"/>
          <w:b w:val="0"/>
          <w:bCs w:val="0"/>
          <w:sz w:val="32"/>
          <w:szCs w:val="32"/>
          <w:lang w:val="en-US" w:eastAsia="zh-CN"/>
        </w:rPr>
        <w:t>按项目实际情况和设计图纸要求提交以上报价。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3MzZjZmQzYWE0ZmVlMTA2MzViNjEyNTY5ZjQzMDMifQ=="/>
  </w:docVars>
  <w:rsids>
    <w:rsidRoot w:val="00000000"/>
    <w:rsid w:val="0394658D"/>
    <w:rsid w:val="06C0204E"/>
    <w:rsid w:val="096D61C8"/>
    <w:rsid w:val="09D94AF6"/>
    <w:rsid w:val="0B2D1730"/>
    <w:rsid w:val="0F6B4008"/>
    <w:rsid w:val="11D460EA"/>
    <w:rsid w:val="121A75C0"/>
    <w:rsid w:val="12DD7EA1"/>
    <w:rsid w:val="15B7218A"/>
    <w:rsid w:val="1A231FC1"/>
    <w:rsid w:val="1A99151C"/>
    <w:rsid w:val="1C9164D7"/>
    <w:rsid w:val="1CBD66FD"/>
    <w:rsid w:val="2FF46872"/>
    <w:rsid w:val="34975C41"/>
    <w:rsid w:val="354D5A8E"/>
    <w:rsid w:val="369D236E"/>
    <w:rsid w:val="383D6F49"/>
    <w:rsid w:val="3C8A7EBB"/>
    <w:rsid w:val="3F6357D1"/>
    <w:rsid w:val="41E77C61"/>
    <w:rsid w:val="42585F79"/>
    <w:rsid w:val="4D46449D"/>
    <w:rsid w:val="4D9F479C"/>
    <w:rsid w:val="6CAC7D15"/>
    <w:rsid w:val="759913CB"/>
    <w:rsid w:val="7D392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adjustRightInd w:val="0"/>
      <w:snapToGrid w:val="0"/>
      <w:spacing w:beforeAutospacing="0" w:afterAutospacing="0" w:line="360" w:lineRule="auto"/>
      <w:ind w:firstLine="643" w:firstLineChars="200"/>
      <w:jc w:val="left"/>
      <w:outlineLvl w:val="1"/>
    </w:pPr>
    <w:rPr>
      <w:rFonts w:hint="eastAsia"/>
      <w:b/>
      <w:bCs/>
      <w:kern w:val="0"/>
    </w:rPr>
  </w:style>
  <w:style w:type="character" w:default="1" w:styleId="8">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Body Text First Indent 2"/>
    <w:basedOn w:val="4"/>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mphasis"/>
    <w:basedOn w:val="8"/>
    <w:qFormat/>
    <w:uiPriority w:val="0"/>
    <w:rPr>
      <w:i/>
    </w:rPr>
  </w:style>
  <w:style w:type="character" w:styleId="10">
    <w:name w:val="Hyperlink"/>
    <w:qFormat/>
    <w:uiPriority w:val="0"/>
    <w:rPr>
      <w:color w:val="0000FF"/>
      <w:u w:val="single"/>
    </w:rPr>
  </w:style>
  <w:style w:type="character" w:customStyle="1" w:styleId="11">
    <w:name w:val="font41"/>
    <w:basedOn w:val="8"/>
    <w:qFormat/>
    <w:uiPriority w:val="0"/>
    <w:rPr>
      <w:rFonts w:hint="eastAsia" w:ascii="宋体" w:hAnsi="宋体" w:eastAsia="宋体" w:cs="宋体"/>
      <w:color w:val="000000"/>
      <w:sz w:val="18"/>
      <w:szCs w:val="18"/>
      <w:u w:val="none"/>
    </w:rPr>
  </w:style>
  <w:style w:type="character" w:customStyle="1" w:styleId="12">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1319</Words>
  <Characters>1511</Characters>
  <Paragraphs>155</Paragraphs>
  <TotalTime>0</TotalTime>
  <ScaleCrop>false</ScaleCrop>
  <LinksUpToDate>false</LinksUpToDate>
  <CharactersWithSpaces>1552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zy</cp:lastModifiedBy>
  <cp:lastPrinted>2023-06-14T07:46:00Z</cp:lastPrinted>
  <dcterms:modified xsi:type="dcterms:W3CDTF">2023-06-14T09:42:39Z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61BF5C88A1E04AF3949BDA89CAF1B6BF_13</vt:lpwstr>
  </property>
</Properties>
</file>