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bookmarkStart w:id="0" w:name="_Toc512011785"/>
      <w:bookmarkStart w:id="1" w:name="_Toc261477746"/>
      <w:bookmarkStart w:id="2" w:name="_Toc439447799"/>
      <w:r>
        <w:rPr>
          <w:rFonts w:hint="eastAsia" w:ascii="仿宋" w:hAnsi="仿宋" w:eastAsia="仿宋" w:cs="仿宋"/>
          <w:b/>
          <w:sz w:val="36"/>
          <w:szCs w:val="36"/>
          <w:u w:val="none"/>
          <w:lang w:val="en-US" w:eastAsia="zh-CN"/>
        </w:rPr>
        <w:t>G206会昌县珠高寨至九州段公路改建工程及沿线配套设施建设</w:t>
      </w:r>
      <w:bookmarkEnd w:id="0"/>
      <w:bookmarkEnd w:id="1"/>
      <w:bookmarkEnd w:id="2"/>
      <w:r>
        <w:rPr>
          <w:rFonts w:hint="eastAsia" w:ascii="仿宋" w:hAnsi="仿宋" w:eastAsia="仿宋" w:cs="仿宋"/>
          <w:b/>
          <w:sz w:val="36"/>
          <w:szCs w:val="36"/>
          <w:u w:val="none"/>
          <w:lang w:val="en-US" w:eastAsia="zh-CN"/>
        </w:rPr>
        <w:t>项目</w:t>
      </w:r>
      <w:r>
        <w:rPr>
          <w:rFonts w:hint="eastAsia" w:ascii="仿宋" w:hAnsi="仿宋" w:eastAsia="仿宋" w:cs="仿宋"/>
          <w:b/>
          <w:bCs/>
          <w:color w:val="000000"/>
          <w:sz w:val="36"/>
          <w:szCs w:val="36"/>
          <w:lang w:eastAsia="zh-CN"/>
        </w:rPr>
        <w:t>水土保持报告</w:t>
      </w:r>
      <w:r>
        <w:rPr>
          <w:rFonts w:hint="eastAsia" w:ascii="仿宋" w:hAnsi="仿宋" w:eastAsia="仿宋" w:cs="仿宋"/>
          <w:b/>
          <w:bCs/>
          <w:color w:val="000000"/>
          <w:sz w:val="36"/>
          <w:szCs w:val="36"/>
          <w:lang w:val="en-US" w:eastAsia="zh-CN"/>
        </w:rPr>
        <w:t>编制</w:t>
      </w:r>
      <w:r>
        <w:rPr>
          <w:rFonts w:hint="eastAsia" w:ascii="仿宋" w:hAnsi="仿宋" w:eastAsia="仿宋" w:cs="仿宋"/>
          <w:b/>
          <w:sz w:val="36"/>
          <w:szCs w:val="36"/>
          <w:u w:val="none"/>
          <w:lang w:eastAsia="zh-CN"/>
        </w:rPr>
        <w:t>询价公告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一、报价人须知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G206会昌县珠高寨至九州段公路改建工程及沿线配套设施建设项目</w:t>
            </w:r>
            <w:r>
              <w:rPr>
                <w:rFonts w:hint="eastAsia" w:ascii="仿宋" w:hAnsi="仿宋" w:eastAsia="仿宋" w:cs="仿宋"/>
                <w:b w:val="0"/>
                <w:bCs/>
                <w:color w:val="000000"/>
                <w:sz w:val="30"/>
                <w:szCs w:val="30"/>
                <w:lang w:eastAsia="zh-CN"/>
              </w:rPr>
              <w:t>水土保持报告</w:t>
            </w:r>
            <w:r>
              <w:rPr>
                <w:rFonts w:hint="eastAsia" w:ascii="仿宋" w:hAnsi="仿宋" w:eastAsia="仿宋" w:cs="仿宋"/>
                <w:b w:val="0"/>
                <w:bCs/>
                <w:color w:val="000000"/>
                <w:sz w:val="30"/>
                <w:szCs w:val="30"/>
                <w:lang w:val="en-US" w:eastAsia="zh-CN"/>
              </w:rPr>
              <w:t>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G206会昌县珠高寨至九州段公路改建工程及沿线配套设施建设项目</w:t>
            </w:r>
            <w:r>
              <w:rPr>
                <w:rFonts w:hint="eastAsia" w:ascii="仿宋" w:hAnsi="仿宋" w:eastAsia="仿宋" w:cs="仿宋"/>
                <w:b w:val="0"/>
                <w:bCs w:val="0"/>
                <w:sz w:val="30"/>
                <w:szCs w:val="30"/>
                <w:vertAlign w:val="baseline"/>
                <w:lang w:val="en-US" w:eastAsia="zh-CN"/>
              </w:rPr>
              <w:t>水土保持报告编制事宜。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根据《中华人民共和国水土保持法》、水利部《开发建设项目水土保持方案编报审批管理规定》和会昌县水土保持相关管理规定编制。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2023年6月15日至2023年6月19日上午9点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联系人及报价地点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招标联系人：陈永鸿  15979096733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1、报价要求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1.1、投标价格为固定总价，投标单位报价后我公司即视为报价方在报价前已充分进行了现场踏勘、考虑了风险评估及工期提前等所有风险。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开户许可证复印件、委托书及被委托人身份证复印件，复印件均需加盖公章，所有材料必须进行封装并加盖公章，否则无效。</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2、承包内容：</w:t>
      </w:r>
    </w:p>
    <w:p>
      <w:pPr>
        <w:numPr>
          <w:ilvl w:val="0"/>
          <w:numId w:val="0"/>
        </w:numPr>
        <w:ind w:firstLine="640"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开展项目的</w:t>
      </w:r>
      <w:r>
        <w:rPr>
          <w:rFonts w:hint="eastAsia" w:ascii="仿宋" w:hAnsi="仿宋" w:eastAsia="仿宋" w:cs="仿宋"/>
          <w:b w:val="0"/>
          <w:bCs/>
          <w:color w:val="000000"/>
          <w:sz w:val="32"/>
          <w:szCs w:val="32"/>
          <w:lang w:eastAsia="zh-CN"/>
        </w:rPr>
        <w:t>水土保持报告</w:t>
      </w:r>
      <w:r>
        <w:rPr>
          <w:rFonts w:hint="eastAsia" w:ascii="仿宋" w:hAnsi="仿宋" w:eastAsia="仿宋" w:cs="仿宋"/>
          <w:b w:val="0"/>
          <w:bCs/>
          <w:color w:val="000000"/>
          <w:sz w:val="32"/>
          <w:szCs w:val="32"/>
          <w:lang w:val="en-US" w:eastAsia="zh-CN"/>
        </w:rPr>
        <w:t>编制和报审</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三、报价文件递交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四、潜在投标人报价需知</w:t>
      </w:r>
    </w:p>
    <w:p>
      <w:pPr>
        <w:numPr>
          <w:ilvl w:val="0"/>
          <w:numId w:val="0"/>
        </w:numPr>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1、本次报价结果仅作为最高限价；</w:t>
      </w:r>
    </w:p>
    <w:p>
      <w:pPr>
        <w:numPr>
          <w:ilvl w:val="0"/>
          <w:numId w:val="0"/>
        </w:numPr>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2、询价单位不会公布任何报价内容和询价结果；</w:t>
      </w:r>
    </w:p>
    <w:p>
      <w:pPr>
        <w:numPr>
          <w:ilvl w:val="0"/>
          <w:numId w:val="0"/>
        </w:numPr>
        <w:ind w:left="638" w:leftChars="304" w:firstLine="0" w:firstLineChars="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single"/>
          <w:lang w:val="en-US" w:eastAsia="zh-CN"/>
        </w:rPr>
        <w:t>3、询价单位不承担可能发生的一切法律责任、费用和后果。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五、项目概况</w:t>
      </w:r>
    </w:p>
    <w:p>
      <w:pPr>
        <w:numPr>
          <w:ilvl w:val="0"/>
          <w:numId w:val="0"/>
        </w:numPr>
        <w:ind w:firstLine="640" w:firstLineChars="200"/>
        <w:jc w:val="left"/>
        <w:rPr>
          <w:rFonts w:hint="eastAsia" w:ascii="仿宋_GB2312" w:hAnsi="仿宋_GB2312" w:eastAsia="仿宋_GB2312" w:cs="仿宋_GB2312"/>
          <w:b/>
          <w:bCs/>
          <w:color w:val="000000"/>
          <w:sz w:val="30"/>
          <w:szCs w:val="30"/>
          <w:u w:val="single"/>
          <w:lang w:val="en-US"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bCs/>
          <w:color w:val="000000"/>
          <w:sz w:val="30"/>
          <w:szCs w:val="30"/>
          <w:u w:val="single"/>
          <w:lang w:val="en-US" w:eastAsia="zh-CN"/>
        </w:rPr>
        <w:t>本项且由206 公路改建项目及公路沿线配套设施项目组成，两项目分别立项，共同设计实施，项目用地面积约800亩。</w:t>
      </w:r>
    </w:p>
    <w:p>
      <w:pPr>
        <w:numPr>
          <w:ilvl w:val="0"/>
          <w:numId w:val="0"/>
        </w:numPr>
        <w:ind w:firstLine="600" w:firstLineChars="200"/>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公路项目：路线起于瑞金与会昌交界处，与现状 G206 国道</w:t>
      </w:r>
    </w:p>
    <w:p>
      <w:pPr>
        <w:numPr>
          <w:ilvl w:val="0"/>
          <w:numId w:val="0"/>
        </w:numPr>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相接，从城北片区沿济广高速公路西侧边缘布线，路线走向基本为南北方向，终于九州大道与省道 S217 线交叉口处。路线全长约7.55 公里（含利用段2.35公里），同步建设必要的交通工程和沿线设施，项目采用一级公路技术标准建设;设计时速 80公里/小时;起点至与同济大道交叉(K2024+260-K2025+360 ）及环城南路至终点段（K2030+795 -K2031+812.1）路基宽度25.5米，同济大道至环城南路段（K2025+360-K2030+795)，含利用段2.35公里,路基宽度 31.5米。</w:t>
      </w:r>
    </w:p>
    <w:p>
      <w:pPr>
        <w:numPr>
          <w:ilvl w:val="0"/>
          <w:numId w:val="0"/>
        </w:numPr>
        <w:ind w:firstLine="600" w:firstLineChars="200"/>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配套设施项目：沿 G206 会昌县珠高寨至九州段两侧对称新</w:t>
      </w:r>
    </w:p>
    <w:p>
      <w:pPr>
        <w:numPr>
          <w:ilvl w:val="0"/>
          <w:numId w:val="0"/>
        </w:numPr>
        <w:jc w:val="left"/>
        <w:rPr>
          <w:rFonts w:hint="default"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建侧向绿化分隔带、辅道及人行道、排水与管线工程、路面附属工程等，起点至与汉仙大道相接 (K2024+260-K2027+715) 两侧对称新建侧向绿化分隔带宽4 米，非机动车道宽8米，人行道宽5米；汉仙大道与环城南路相接 (K2030+065-K2030+795)两侧对称新建侧向绿化分隔带宽 4米，非机动车道完8米，人行道宽5米；环城南路段至终点段（K2030+795-K2031+812.1）两侧对称新建人行道宽7.25米。</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bookmarkStart w:id="3" w:name="_GoBack"/>
      <w:bookmarkEnd w:id="3"/>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宋体" w:hAnsi="宋体" w:cs="宋体"/>
          <w:b/>
          <w:bCs w:val="0"/>
          <w:color w:val="000000"/>
          <w:kern w:val="0"/>
          <w:sz w:val="36"/>
          <w:szCs w:val="36"/>
          <w:lang w:val="en-US" w:eastAsia="zh-CN"/>
        </w:rPr>
      </w:pP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报价表</w:t>
      </w:r>
    </w:p>
    <w:tbl>
      <w:tblPr>
        <w:tblStyle w:val="7"/>
        <w:tblpPr w:leftFromText="180" w:rightFromText="180" w:vertAnchor="text" w:horzAnchor="page" w:tblpX="1420" w:tblpY="212"/>
        <w:tblOverlap w:val="never"/>
        <w:tblW w:w="86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5"/>
        <w:gridCol w:w="1800"/>
        <w:gridCol w:w="1365"/>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5"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80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编制类型</w:t>
            </w:r>
          </w:p>
        </w:tc>
        <w:tc>
          <w:tcPr>
            <w:tcW w:w="1365"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仿宋" w:hAnsi="仿宋" w:eastAsia="仿宋" w:cs="仿宋"/>
                <w:sz w:val="28"/>
                <w:szCs w:val="28"/>
                <w:vertAlign w:val="baseline"/>
                <w:lang w:eastAsia="zh-CN"/>
              </w:rPr>
              <w:t>投标报价（万元）</w:t>
            </w:r>
          </w:p>
        </w:tc>
        <w:tc>
          <w:tcPr>
            <w:tcW w:w="1110" w:type="dxa"/>
            <w:vAlign w:val="center"/>
          </w:tcPr>
          <w:p>
            <w:pPr>
              <w:pStyle w:val="4"/>
              <w:ind w:left="0" w:leftChars="0" w:firstLine="0" w:firstLine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395"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b w:val="0"/>
                <w:bCs w:val="0"/>
                <w:sz w:val="28"/>
                <w:szCs w:val="28"/>
                <w:vertAlign w:val="baseline"/>
                <w:lang w:val="en-US" w:eastAsia="zh-CN"/>
              </w:rPr>
              <w:t>G206会昌县珠高寨至九州段公路改建工程项目水土保持报告编制</w:t>
            </w:r>
          </w:p>
        </w:tc>
        <w:tc>
          <w:tcPr>
            <w:tcW w:w="1800" w:type="dxa"/>
            <w:vMerge w:val="restart"/>
            <w:vAlign w:val="center"/>
          </w:tcPr>
          <w:p>
            <w:pPr>
              <w:pStyle w:val="4"/>
              <w:ind w:left="0" w:leftChars="0" w:firstLine="0" w:firstLineChars="0"/>
              <w:jc w:val="center"/>
              <w:rPr>
                <w:rFonts w:hint="eastAsia" w:ascii="仿宋" w:hAnsi="仿宋" w:eastAsia="仿宋" w:cs="仿宋"/>
                <w:color w:val="FF0000"/>
                <w:sz w:val="28"/>
                <w:szCs w:val="28"/>
                <w:vertAlign w:val="baseline"/>
                <w:lang w:val="en-US" w:eastAsia="zh-CN"/>
              </w:rPr>
            </w:pPr>
            <w:r>
              <w:rPr>
                <w:rFonts w:hint="eastAsia" w:ascii="仿宋" w:hAnsi="仿宋" w:eastAsia="仿宋" w:cs="仿宋"/>
                <w:sz w:val="28"/>
                <w:szCs w:val="28"/>
                <w:vertAlign w:val="baseline"/>
                <w:lang w:eastAsia="zh-CN"/>
              </w:rPr>
              <w:t>水土保持报告</w:t>
            </w:r>
            <w:r>
              <w:rPr>
                <w:rFonts w:hint="eastAsia" w:ascii="仿宋" w:hAnsi="仿宋" w:eastAsia="仿宋" w:cs="仿宋"/>
                <w:sz w:val="28"/>
                <w:szCs w:val="28"/>
                <w:vertAlign w:val="baseline"/>
                <w:lang w:val="en-US" w:eastAsia="zh-CN"/>
              </w:rPr>
              <w:t>书</w:t>
            </w:r>
          </w:p>
        </w:tc>
        <w:tc>
          <w:tcPr>
            <w:tcW w:w="1365" w:type="dxa"/>
            <w:vMerge w:val="restart"/>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sz w:val="28"/>
                <w:szCs w:val="28"/>
                <w:vertAlign w:val="baseline"/>
                <w:lang w:val="en-US" w:eastAsia="zh-CN"/>
              </w:rPr>
              <w:t>万元</w:t>
            </w:r>
          </w:p>
        </w:tc>
        <w:tc>
          <w:tcPr>
            <w:tcW w:w="1110" w:type="dxa"/>
            <w:vMerge w:val="restart"/>
            <w:vAlign w:val="center"/>
          </w:tcPr>
          <w:p>
            <w:pPr>
              <w:pStyle w:val="4"/>
              <w:ind w:left="0" w:leftChars="0" w:firstLine="0" w:firstLineChars="0"/>
              <w:jc w:val="center"/>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固定总价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395"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G206会昌县珠高寨至九州段公路沿线配套设施建设项目水土保持报告编制</w:t>
            </w:r>
          </w:p>
        </w:tc>
        <w:tc>
          <w:tcPr>
            <w:tcW w:w="1800" w:type="dxa"/>
            <w:vMerge w:val="continue"/>
            <w:vAlign w:val="center"/>
          </w:tcPr>
          <w:p>
            <w:pPr>
              <w:pStyle w:val="4"/>
              <w:ind w:left="0" w:leftChars="0" w:firstLine="0" w:firstLineChars="0"/>
              <w:jc w:val="center"/>
              <w:rPr>
                <w:rFonts w:hint="eastAsia" w:ascii="仿宋" w:hAnsi="仿宋" w:eastAsia="仿宋" w:cs="仿宋"/>
                <w:color w:val="000000"/>
                <w:sz w:val="28"/>
                <w:szCs w:val="28"/>
                <w:vertAlign w:val="baseline"/>
                <w:lang w:val="en-US" w:eastAsia="zh-CN"/>
              </w:rPr>
            </w:pPr>
          </w:p>
        </w:tc>
        <w:tc>
          <w:tcPr>
            <w:tcW w:w="1365" w:type="dxa"/>
            <w:vMerge w:val="continue"/>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110" w:type="dxa"/>
            <w:vMerge w:val="continue"/>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p>
        </w:tc>
      </w:tr>
    </w:tbl>
    <w:p>
      <w:pPr>
        <w:widowControl/>
        <w:spacing w:line="500" w:lineRule="exact"/>
        <w:jc w:val="both"/>
        <w:rPr>
          <w:rFonts w:hint="eastAsia" w:ascii="宋体" w:hAnsi="宋体" w:cs="宋体"/>
          <w:b w:val="0"/>
          <w:bCs/>
          <w:color w:val="000000"/>
          <w:kern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我公司已在报价前已充分进行了现场踏勘、考虑了风险评估及工期提前等所有风险，上述报价包含</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编制、评审等相关费用并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3MzZjZmQzYWE0ZmVlMTA2MzViNjEyNTY5ZjQzMDMifQ=="/>
  </w:docVars>
  <w:rsids>
    <w:rsidRoot w:val="00000000"/>
    <w:rsid w:val="0394658D"/>
    <w:rsid w:val="09D94AF6"/>
    <w:rsid w:val="0B2D1730"/>
    <w:rsid w:val="0F6B4008"/>
    <w:rsid w:val="12DD7EA1"/>
    <w:rsid w:val="18AD4D89"/>
    <w:rsid w:val="1CBD66FD"/>
    <w:rsid w:val="2379404D"/>
    <w:rsid w:val="23E653CB"/>
    <w:rsid w:val="2D1B10B6"/>
    <w:rsid w:val="2EDC0622"/>
    <w:rsid w:val="2F0908C5"/>
    <w:rsid w:val="2FF46872"/>
    <w:rsid w:val="419D523A"/>
    <w:rsid w:val="4D46449D"/>
    <w:rsid w:val="58430B54"/>
    <w:rsid w:val="62F24C84"/>
    <w:rsid w:val="67753673"/>
    <w:rsid w:val="6C470F34"/>
    <w:rsid w:val="75732F50"/>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1331</Words>
  <Characters>1523</Characters>
  <Paragraphs>155</Paragraphs>
  <TotalTime>0</TotalTime>
  <ScaleCrop>false</ScaleCrop>
  <LinksUpToDate>false</LinksUpToDate>
  <CharactersWithSpaces>1564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zy</cp:lastModifiedBy>
  <cp:lastPrinted>2023-06-14T07:46:00Z</cp:lastPrinted>
  <dcterms:modified xsi:type="dcterms:W3CDTF">2023-06-14T09:42:55Z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5A767524BC4B49EEBC5F674DCD32DE11_13</vt:lpwstr>
  </property>
</Properties>
</file>