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sz w:val="36"/>
          <w:szCs w:val="36"/>
          <w:u w:val="none"/>
          <w:lang w:eastAsia="zh-CN"/>
        </w:rPr>
      </w:pPr>
      <w:bookmarkStart w:id="0" w:name="_Toc261477746"/>
      <w:bookmarkStart w:id="1" w:name="_Toc512011785"/>
      <w:bookmarkStart w:id="2" w:name="_Toc439447799"/>
      <w:r>
        <w:rPr>
          <w:rFonts w:hint="eastAsia" w:ascii="仿宋" w:hAnsi="仿宋" w:eastAsia="仿宋" w:cs="仿宋"/>
          <w:b/>
          <w:sz w:val="36"/>
          <w:szCs w:val="36"/>
          <w:u w:val="none"/>
          <w:lang w:val="en-US" w:eastAsia="zh-CN"/>
        </w:rPr>
        <w:t>G206会昌县珠高寨至九州段公路改建工程及沿线配套设施建设</w:t>
      </w:r>
      <w:bookmarkEnd w:id="0"/>
      <w:bookmarkEnd w:id="1"/>
      <w:bookmarkEnd w:id="2"/>
      <w:r>
        <w:rPr>
          <w:rFonts w:hint="eastAsia" w:ascii="仿宋" w:hAnsi="仿宋" w:eastAsia="仿宋" w:cs="仿宋"/>
          <w:b/>
          <w:sz w:val="36"/>
          <w:szCs w:val="36"/>
          <w:u w:val="none"/>
          <w:lang w:val="en-US" w:eastAsia="zh-CN"/>
        </w:rPr>
        <w:t>项目</w:t>
      </w:r>
      <w:r>
        <w:rPr>
          <w:rFonts w:hint="eastAsia" w:ascii="仿宋" w:hAnsi="仿宋" w:eastAsia="仿宋" w:cs="仿宋"/>
          <w:b/>
          <w:sz w:val="36"/>
          <w:szCs w:val="36"/>
          <w:u w:val="none"/>
          <w:lang w:eastAsia="zh-CN"/>
        </w:rPr>
        <w:t>洪水影响评价工作询价发包挂网</w:t>
      </w:r>
    </w:p>
    <w:p>
      <w:pPr>
        <w:jc w:val="center"/>
        <w:rPr>
          <w:rFonts w:hint="eastAsia" w:ascii="仿宋" w:hAnsi="仿宋" w:eastAsia="仿宋" w:cs="仿宋"/>
          <w:b/>
          <w:bCs/>
          <w:sz w:val="36"/>
          <w:szCs w:val="36"/>
          <w:lang w:val="en-US" w:eastAsia="zh-CN"/>
        </w:rPr>
      </w:pPr>
      <w:r>
        <w:rPr>
          <w:rFonts w:hint="eastAsia" w:ascii="仿宋" w:hAnsi="仿宋" w:eastAsia="仿宋" w:cs="仿宋"/>
          <w:b/>
          <w:sz w:val="36"/>
          <w:szCs w:val="36"/>
          <w:u w:val="none"/>
          <w:lang w:eastAsia="zh-CN"/>
        </w:rPr>
        <w:t>招标公告</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946"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项号</w:t>
            </w:r>
          </w:p>
        </w:tc>
        <w:tc>
          <w:tcPr>
            <w:tcW w:w="1629"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内 容</w:t>
            </w:r>
          </w:p>
        </w:tc>
        <w:tc>
          <w:tcPr>
            <w:tcW w:w="7020"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招标人</w:t>
            </w:r>
          </w:p>
        </w:tc>
        <w:tc>
          <w:tcPr>
            <w:tcW w:w="7020" w:type="dxa"/>
            <w:vAlign w:val="center"/>
          </w:tcPr>
          <w:p>
            <w:pPr>
              <w:jc w:val="center"/>
              <w:rPr>
                <w:rFonts w:hint="eastAsia" w:ascii="仿宋" w:hAnsi="仿宋" w:eastAsia="仿宋" w:cs="仿宋"/>
                <w:b w:val="0"/>
                <w:bCs/>
                <w:sz w:val="30"/>
                <w:szCs w:val="30"/>
                <w:u w:val="none"/>
                <w:lang w:val="en-US" w:eastAsia="zh-CN"/>
              </w:rPr>
            </w:pPr>
            <w:r>
              <w:rPr>
                <w:rFonts w:hint="eastAsia" w:ascii="仿宋" w:hAnsi="仿宋" w:eastAsia="仿宋" w:cs="仿宋"/>
                <w:b w:val="0"/>
                <w:bCs/>
                <w:sz w:val="30"/>
                <w:szCs w:val="30"/>
                <w:u w:val="none"/>
                <w:lang w:eastAsia="zh-CN"/>
              </w:rPr>
              <w:t>会昌县恒茂建设发展集团有限责任公司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2</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项目名称</w:t>
            </w:r>
          </w:p>
        </w:tc>
        <w:tc>
          <w:tcPr>
            <w:tcW w:w="7020" w:type="dxa"/>
            <w:vAlign w:val="center"/>
          </w:tcPr>
          <w:p>
            <w:pPr>
              <w:spacing w:line="700" w:lineRule="exact"/>
              <w:jc w:val="center"/>
              <w:rPr>
                <w:rFonts w:hint="default" w:ascii="仿宋" w:hAnsi="仿宋" w:eastAsia="仿宋_GB2312" w:cs="仿宋"/>
                <w:b w:val="0"/>
                <w:bCs w:val="0"/>
                <w:sz w:val="30"/>
                <w:szCs w:val="30"/>
                <w:vertAlign w:val="baseline"/>
                <w:lang w:val="en-US" w:eastAsia="zh-CN"/>
              </w:rPr>
            </w:pPr>
            <w:r>
              <w:rPr>
                <w:rFonts w:hint="eastAsia" w:ascii="仿宋" w:hAnsi="仿宋" w:eastAsia="仿宋" w:cs="仿宋"/>
                <w:b w:val="0"/>
                <w:bCs/>
                <w:sz w:val="30"/>
                <w:szCs w:val="30"/>
                <w:u w:val="none"/>
                <w:lang w:val="en-US" w:eastAsia="zh-CN"/>
              </w:rPr>
              <w:t>G206会昌县珠高寨至九州段公路改建工程及沿线配套设施建设项目</w:t>
            </w:r>
            <w:r>
              <w:rPr>
                <w:rFonts w:hint="eastAsia" w:ascii="仿宋" w:hAnsi="仿宋" w:eastAsia="仿宋" w:cs="仿宋"/>
                <w:b w:val="0"/>
                <w:bCs/>
                <w:sz w:val="30"/>
                <w:szCs w:val="30"/>
                <w:u w:val="none"/>
                <w:lang w:eastAsia="zh-CN"/>
              </w:rPr>
              <w:t>洪水影响评价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3</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项目地点</w:t>
            </w:r>
          </w:p>
        </w:tc>
        <w:tc>
          <w:tcPr>
            <w:tcW w:w="7020" w:type="dxa"/>
            <w:vAlign w:val="center"/>
          </w:tcPr>
          <w:p>
            <w:pPr>
              <w:jc w:val="center"/>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会昌县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4</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招标范围</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sz w:val="30"/>
                <w:szCs w:val="30"/>
                <w:u w:val="none"/>
                <w:lang w:val="en-US" w:eastAsia="zh-CN"/>
              </w:rPr>
              <w:t>G206会昌县珠高寨至九州段公路改建工程及沿线配套设施建设项目</w:t>
            </w:r>
            <w:r>
              <w:rPr>
                <w:rFonts w:hint="eastAsia" w:ascii="仿宋" w:hAnsi="仿宋" w:eastAsia="仿宋" w:cs="仿宋"/>
                <w:b w:val="0"/>
                <w:bCs/>
                <w:sz w:val="30"/>
                <w:szCs w:val="30"/>
                <w:u w:val="none"/>
                <w:lang w:eastAsia="zh-CN"/>
              </w:rPr>
              <w:t>洪水影响评价</w:t>
            </w:r>
            <w:r>
              <w:rPr>
                <w:rFonts w:hint="eastAsia" w:ascii="仿宋" w:hAnsi="仿宋" w:eastAsia="仿宋" w:cs="仿宋"/>
                <w:b w:val="0"/>
                <w:bCs w:val="0"/>
                <w:sz w:val="30"/>
                <w:szCs w:val="30"/>
                <w:vertAlign w:val="baseline"/>
                <w:lang w:val="en-US" w:eastAsia="zh-CN"/>
              </w:rPr>
              <w:t>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5</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资金来源</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sz w:val="30"/>
                <w:szCs w:val="30"/>
                <w:u w:val="none"/>
              </w:rPr>
              <w:t>一般债券资金</w:t>
            </w:r>
            <w:r>
              <w:rPr>
                <w:rFonts w:hint="eastAsia" w:ascii="仿宋" w:hAnsi="仿宋" w:eastAsia="仿宋" w:cs="仿宋"/>
                <w:b w:val="0"/>
                <w:bCs/>
                <w:sz w:val="30"/>
                <w:szCs w:val="30"/>
                <w:u w:val="none"/>
                <w:lang w:eastAsia="zh-CN"/>
              </w:rPr>
              <w:t>、地方财政</w:t>
            </w:r>
            <w:r>
              <w:rPr>
                <w:rFonts w:hint="eastAsia" w:ascii="仿宋" w:hAnsi="仿宋" w:eastAsia="仿宋" w:cs="仿宋"/>
                <w:b w:val="0"/>
                <w:bCs/>
                <w:sz w:val="30"/>
                <w:szCs w:val="30"/>
                <w:u w:val="none"/>
              </w:rPr>
              <w:t>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6</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工艺要求</w:t>
            </w:r>
          </w:p>
        </w:tc>
        <w:tc>
          <w:tcPr>
            <w:tcW w:w="7020" w:type="dxa"/>
            <w:vAlign w:val="center"/>
          </w:tcPr>
          <w:p>
            <w:pPr>
              <w:numPr>
                <w:ilvl w:val="0"/>
                <w:numId w:val="0"/>
              </w:numPr>
              <w:jc w:val="both"/>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sz w:val="30"/>
                <w:szCs w:val="30"/>
                <w:u w:val="none"/>
                <w:lang w:eastAsia="zh-CN"/>
              </w:rPr>
              <w:t>《中华人民共和国防洪法》第十一条编制防洪规划，应当遵循确保重点、兼顾一般，以及防汛和抗旱相结合、工程措施和非工程措施相结合的原则，充分考虑洪涝规律和上下游、左右岸的关系以及城区经济对防洪的要求，并与国土规划和土地利用总体规划相协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7</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工期要求</w:t>
            </w:r>
          </w:p>
        </w:tc>
        <w:tc>
          <w:tcPr>
            <w:tcW w:w="7020" w:type="dxa"/>
            <w:vAlign w:val="center"/>
          </w:tcPr>
          <w:p>
            <w:pPr>
              <w:jc w:val="center"/>
              <w:rPr>
                <w:rFonts w:hint="default" w:ascii="仿宋" w:hAnsi="仿宋" w:eastAsia="仿宋" w:cs="仿宋"/>
                <w:b/>
                <w:bCs/>
                <w:sz w:val="30"/>
                <w:szCs w:val="30"/>
                <w:vertAlign w:val="baseline"/>
                <w:lang w:val="en-US" w:eastAsia="zh-CN"/>
              </w:rPr>
            </w:pPr>
            <w:r>
              <w:rPr>
                <w:rFonts w:hint="eastAsia" w:ascii="仿宋" w:hAnsi="仿宋" w:eastAsia="仿宋" w:cs="仿宋"/>
                <w:b w:val="0"/>
                <w:bCs w:val="0"/>
                <w:sz w:val="30"/>
                <w:szCs w:val="30"/>
                <w:vertAlign w:val="baseline"/>
                <w:lang w:val="en-US" w:eastAsia="zh-CN"/>
              </w:rPr>
              <w:t>总工期25天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8</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报名时间</w:t>
            </w:r>
          </w:p>
        </w:tc>
        <w:tc>
          <w:tcPr>
            <w:tcW w:w="7020" w:type="dxa"/>
            <w:vAlign w:val="center"/>
          </w:tcPr>
          <w:p>
            <w:pPr>
              <w:jc w:val="center"/>
              <w:rPr>
                <w:rFonts w:hint="eastAsia" w:ascii="仿宋" w:hAnsi="仿宋" w:eastAsia="仿宋" w:cs="仿宋"/>
                <w:b w:val="0"/>
                <w:bCs w:val="0"/>
                <w:color w:val="FF000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2023年6月15日至2023年6月19日下午3点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trPr>
        <w:tc>
          <w:tcPr>
            <w:tcW w:w="946" w:type="dxa"/>
            <w:vAlign w:val="center"/>
          </w:tcPr>
          <w:p>
            <w:pPr>
              <w:spacing w:line="480" w:lineRule="auto"/>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9</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付款方式</w:t>
            </w:r>
          </w:p>
        </w:tc>
        <w:tc>
          <w:tcPr>
            <w:tcW w:w="7020" w:type="dxa"/>
            <w:vAlign w:val="center"/>
          </w:tcPr>
          <w:p>
            <w:pPr>
              <w:jc w:val="center"/>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完成</w:t>
            </w:r>
            <w:r>
              <w:rPr>
                <w:rFonts w:hint="eastAsia" w:ascii="仿宋" w:hAnsi="仿宋" w:eastAsia="仿宋" w:cs="仿宋"/>
                <w:b w:val="0"/>
                <w:bCs/>
                <w:color w:val="000000"/>
                <w:sz w:val="30"/>
                <w:szCs w:val="30"/>
                <w:lang w:eastAsia="zh-CN"/>
              </w:rPr>
              <w:t>项目洪水影响评价，</w:t>
            </w:r>
            <w:r>
              <w:rPr>
                <w:rFonts w:hint="eastAsia" w:ascii="仿宋" w:hAnsi="仿宋" w:eastAsia="仿宋" w:cs="仿宋"/>
                <w:b w:val="0"/>
                <w:bCs w:val="0"/>
                <w:sz w:val="30"/>
                <w:szCs w:val="30"/>
                <w:vertAlign w:val="baseline"/>
                <w:lang w:val="en-US" w:eastAsia="zh-CN"/>
              </w:rPr>
              <w:t>并通过行业主管部门审批后一年内支付。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10</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计价方式</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固定总价包干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1" w:hRule="atLeast"/>
        </w:trPr>
        <w:tc>
          <w:tcPr>
            <w:tcW w:w="946" w:type="dxa"/>
            <w:vAlign w:val="center"/>
          </w:tcPr>
          <w:p>
            <w:pPr>
              <w:jc w:val="center"/>
              <w:rPr>
                <w:rFonts w:hint="default"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11</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联系人及提交报价材料地点</w:t>
            </w:r>
          </w:p>
        </w:tc>
        <w:tc>
          <w:tcPr>
            <w:tcW w:w="7020" w:type="dxa"/>
            <w:vAlign w:val="center"/>
          </w:tcPr>
          <w:p>
            <w:pPr>
              <w:jc w:val="both"/>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招标联系人：陈永鸿  15979096733 提交报价材料地点：会昌县商会大厦十楼工程部。</w:t>
            </w:r>
          </w:p>
          <w:p>
            <w:pPr>
              <w:jc w:val="both"/>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需要相关材料及勘察项目现场的请联系招标联系人，并在报名有效期内提交报价材料。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0"/>
                <w:szCs w:val="30"/>
                <w:vertAlign w:val="baseline"/>
                <w:lang w:val="en-US" w:eastAsia="zh-CN" w:bidi="ar-SA"/>
              </w:rPr>
            </w:pPr>
            <w:r>
              <w:rPr>
                <w:rFonts w:hint="eastAsia" w:ascii="仿宋" w:hAnsi="仿宋" w:eastAsia="仿宋" w:cs="仿宋"/>
                <w:b/>
                <w:bCs/>
                <w:sz w:val="30"/>
                <w:szCs w:val="30"/>
                <w:vertAlign w:val="baseline"/>
                <w:lang w:val="en-US" w:eastAsia="zh-CN"/>
              </w:rPr>
              <w:t>12</w:t>
            </w:r>
          </w:p>
        </w:tc>
        <w:tc>
          <w:tcPr>
            <w:tcW w:w="1629" w:type="dxa"/>
            <w:vAlign w:val="center"/>
          </w:tcPr>
          <w:p>
            <w:pPr>
              <w:jc w:val="center"/>
              <w:rPr>
                <w:rFonts w:hint="eastAsia" w:ascii="仿宋" w:hAnsi="仿宋" w:eastAsia="仿宋" w:cs="仿宋"/>
                <w:b w:val="0"/>
                <w:bCs w:val="0"/>
                <w:kern w:val="2"/>
                <w:sz w:val="30"/>
                <w:szCs w:val="30"/>
                <w:vertAlign w:val="baseline"/>
                <w:lang w:val="en-US" w:eastAsia="zh-CN" w:bidi="ar-SA"/>
              </w:rPr>
            </w:pPr>
            <w:r>
              <w:rPr>
                <w:rFonts w:hint="eastAsia" w:ascii="仿宋" w:hAnsi="仿宋" w:eastAsia="仿宋" w:cs="仿宋"/>
                <w:b w:val="0"/>
                <w:bCs w:val="0"/>
                <w:sz w:val="30"/>
                <w:szCs w:val="30"/>
                <w:vertAlign w:val="baseline"/>
                <w:lang w:val="en-US" w:eastAsia="zh-CN"/>
              </w:rPr>
              <w:t>开标时间地点及举报电话</w:t>
            </w:r>
          </w:p>
        </w:tc>
        <w:tc>
          <w:tcPr>
            <w:tcW w:w="7020" w:type="dxa"/>
            <w:vAlign w:val="center"/>
          </w:tcPr>
          <w:p>
            <w:pPr>
              <w:jc w:val="both"/>
              <w:rPr>
                <w:rFonts w:hint="eastAsia" w:ascii="仿宋" w:hAnsi="仿宋" w:eastAsia="仿宋" w:cs="仿宋"/>
                <w:b w:val="0"/>
                <w:bCs w:val="0"/>
                <w:color w:val="00000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开标时间为：2023年6月19日下午3:00，集团询价小组进行现场拆封各投标人报价文件，审核各投标人资质，按低价原则确定服务机构。</w:t>
            </w:r>
          </w:p>
          <w:p>
            <w:pPr>
              <w:jc w:val="both"/>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地点：会昌县商会大厦十楼会议室</w:t>
            </w:r>
          </w:p>
          <w:p>
            <w:pPr>
              <w:jc w:val="both"/>
              <w:rPr>
                <w:rFonts w:hint="eastAsia" w:ascii="仿宋" w:hAnsi="仿宋" w:eastAsia="仿宋" w:cs="仿宋"/>
                <w:b w:val="0"/>
                <w:bCs w:val="0"/>
                <w:kern w:val="2"/>
                <w:sz w:val="30"/>
                <w:szCs w:val="30"/>
                <w:vertAlign w:val="baseline"/>
                <w:lang w:val="en-US" w:eastAsia="zh-CN" w:bidi="ar-SA"/>
              </w:rPr>
            </w:pPr>
            <w:r>
              <w:rPr>
                <w:rFonts w:hint="eastAsia" w:ascii="仿宋" w:hAnsi="仿宋" w:eastAsia="仿宋" w:cs="仿宋"/>
                <w:b w:val="0"/>
                <w:bCs w:val="0"/>
                <w:sz w:val="30"/>
                <w:szCs w:val="30"/>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1.1、投标价格为固定总价，投标单位报价后我公司即视为报价方在报价前已充分进行了现场踏勘、考虑了风险评估及工期提前等所有风险。任何要求</w:t>
      </w:r>
      <w:bookmarkStart w:id="3" w:name="_Hlk529951313"/>
      <w:r>
        <w:rPr>
          <w:rFonts w:hint="eastAsia" w:ascii="仿宋_GB2312" w:hAnsi="仿宋_GB2312" w:eastAsia="仿宋_GB2312" w:cs="仿宋_GB2312"/>
          <w:b w:val="0"/>
          <w:bCs w:val="0"/>
          <w:sz w:val="32"/>
          <w:szCs w:val="32"/>
          <w:lang w:val="en-US" w:eastAsia="zh-CN"/>
        </w:rPr>
        <w:t>增减、变更</w:t>
      </w:r>
      <w:bookmarkEnd w:id="3"/>
      <w:r>
        <w:rPr>
          <w:rFonts w:hint="eastAsia" w:ascii="仿宋_GB2312" w:hAnsi="仿宋_GB2312" w:eastAsia="仿宋_GB2312" w:cs="仿宋_GB2312"/>
          <w:b w:val="0"/>
          <w:bCs w:val="0"/>
          <w:sz w:val="32"/>
          <w:szCs w:val="32"/>
          <w:lang w:val="en-US" w:eastAsia="zh-CN"/>
        </w:rPr>
        <w:t>单价的，将不予认可。</w:t>
      </w:r>
    </w:p>
    <w:p>
      <w:pPr>
        <w:jc w:val="center"/>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1.2、报价文件由报价表（参照附件格式）、法人身份证复印件、公司营业执照复印件、资质证书复印件、开户许可证复印件、委托书及被委托人身份证复印件，复印件均需加盖公章，所有材料必须进行封装并加盖公章，否则无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w:t>
      </w:r>
      <w:bookmarkStart w:id="4" w:name="_Toc46481525"/>
      <w:r>
        <w:rPr>
          <w:rFonts w:hint="eastAsia" w:ascii="仿宋_GB2312" w:hAnsi="仿宋_GB2312" w:eastAsia="仿宋_GB2312" w:cs="仿宋_GB2312"/>
          <w:b w:val="0"/>
          <w:bCs w:val="0"/>
          <w:sz w:val="32"/>
          <w:szCs w:val="32"/>
          <w:lang w:val="en-US" w:eastAsia="zh-CN"/>
        </w:rPr>
        <w:t>、申请公司的资格要求</w:t>
      </w:r>
      <w:bookmarkEnd w:id="4"/>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（1）具有履行合同所必需的设备和专业技术能力；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（2）提供参加</w:t>
      </w:r>
      <w:r>
        <w:rPr>
          <w:rFonts w:hint="eastAsia" w:ascii="仿宋" w:hAnsi="仿宋" w:eastAsia="仿宋" w:cs="仿宋"/>
          <w:b w:val="0"/>
          <w:bCs/>
          <w:color w:val="000000"/>
          <w:sz w:val="32"/>
          <w:szCs w:val="32"/>
          <w:lang w:eastAsia="zh-CN"/>
        </w:rPr>
        <w:t>洪水影响评价</w:t>
      </w:r>
      <w:r>
        <w:rPr>
          <w:rFonts w:hint="eastAsia" w:ascii="仿宋" w:hAnsi="仿宋" w:eastAsia="仿宋" w:cs="仿宋"/>
          <w:b w:val="0"/>
          <w:bCs/>
          <w:color w:val="000000"/>
          <w:sz w:val="32"/>
          <w:szCs w:val="32"/>
          <w:lang w:val="en-US" w:eastAsia="zh-CN"/>
        </w:rPr>
        <w:t>编制</w:t>
      </w:r>
      <w:r>
        <w:rPr>
          <w:rFonts w:hint="eastAsia" w:ascii="仿宋_GB2312" w:hAnsi="仿宋_GB2312" w:eastAsia="仿宋_GB2312" w:cs="仿宋_GB2312"/>
          <w:b w:val="0"/>
          <w:bCs w:val="0"/>
          <w:sz w:val="32"/>
          <w:szCs w:val="32"/>
          <w:lang w:val="en-US" w:eastAsia="zh-CN"/>
        </w:rPr>
        <w:t>活动前三年内，在经营活动中没有重大违法记录的</w:t>
      </w:r>
      <w:r>
        <w:rPr>
          <w:rFonts w:hint="eastAsia" w:ascii="仿宋_GB2312" w:hAnsi="仿宋_GB2312" w:eastAsia="仿宋_GB2312" w:cs="仿宋_GB2312"/>
          <w:b w:val="0"/>
          <w:bCs w:val="0"/>
          <w:sz w:val="32"/>
          <w:szCs w:val="32"/>
          <w:u w:val="single"/>
          <w:lang w:val="en-US" w:eastAsia="zh-CN"/>
        </w:rPr>
        <w:t>承诺书</w:t>
      </w:r>
      <w:r>
        <w:rPr>
          <w:rFonts w:hint="eastAsia" w:ascii="仿宋_GB2312" w:hAnsi="仿宋_GB2312" w:eastAsia="仿宋_GB2312" w:cs="仿宋_GB2312"/>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（3）提供公司主要管理及其直系亲属未在会昌县恒茂建设发展集团有限责任公司从业的</w:t>
      </w:r>
      <w:r>
        <w:rPr>
          <w:rFonts w:hint="eastAsia" w:ascii="仿宋_GB2312" w:hAnsi="仿宋_GB2312" w:eastAsia="仿宋_GB2312" w:cs="仿宋_GB2312"/>
          <w:b w:val="0"/>
          <w:bCs w:val="0"/>
          <w:sz w:val="32"/>
          <w:szCs w:val="32"/>
          <w:u w:val="single"/>
          <w:lang w:val="en-US" w:eastAsia="zh-CN"/>
        </w:rPr>
        <w:t>承诺书</w:t>
      </w:r>
      <w:r>
        <w:rPr>
          <w:rFonts w:hint="eastAsia" w:ascii="仿宋_GB2312" w:hAnsi="仿宋_GB2312" w:eastAsia="仿宋_GB2312" w:cs="仿宋_GB2312"/>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1.5、中标公示1天后3天内签订合同，签订合同后开展工作。</w:t>
      </w:r>
    </w:p>
    <w:p>
      <w:pPr>
        <w:numPr>
          <w:ilvl w:val="0"/>
          <w:numId w:val="0"/>
        </w:numPr>
        <w:ind w:firstLine="643" w:firstLineChars="20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原则上符合报价文件且在同等条件下以报价最优惠的单位为中标单位，由集团询价小组共同确认，最终报集团三重一大会议确定。</w:t>
      </w:r>
    </w:p>
    <w:p>
      <w:pPr>
        <w:numPr>
          <w:ilvl w:val="0"/>
          <w:numId w:val="0"/>
        </w:numPr>
        <w:ind w:firstLine="643" w:firstLineChars="20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4、 承包内容：</w:t>
      </w:r>
    </w:p>
    <w:p>
      <w:pPr>
        <w:numPr>
          <w:ilvl w:val="0"/>
          <w:numId w:val="0"/>
        </w:numPr>
        <w:ind w:firstLine="640" w:firstLineChars="200"/>
        <w:jc w:val="left"/>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开展项目的</w:t>
      </w:r>
      <w:r>
        <w:rPr>
          <w:rFonts w:hint="eastAsia" w:ascii="仿宋" w:hAnsi="仿宋" w:eastAsia="仿宋" w:cs="仿宋"/>
          <w:b w:val="0"/>
          <w:bCs/>
          <w:color w:val="000000"/>
          <w:sz w:val="32"/>
          <w:szCs w:val="32"/>
          <w:lang w:eastAsia="zh-CN"/>
        </w:rPr>
        <w:t>洪水影响评价等事宜</w:t>
      </w:r>
      <w:r>
        <w:rPr>
          <w:rFonts w:hint="eastAsia" w:ascii="仿宋" w:hAnsi="仿宋" w:eastAsia="仿宋" w:cs="仿宋"/>
          <w:b w:val="0"/>
          <w:bCs w:val="0"/>
          <w:sz w:val="32"/>
          <w:szCs w:val="32"/>
          <w:vertAlign w:val="baseline"/>
          <w:lang w:val="en-US" w:eastAsia="zh-CN"/>
        </w:rPr>
        <w:t>。</w:t>
      </w:r>
    </w:p>
    <w:p>
      <w:pPr>
        <w:numPr>
          <w:ilvl w:val="0"/>
          <w:numId w:val="0"/>
        </w:numPr>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三、投标文件递交</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1、投标人应将投标文件密封加盖章。</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2、封装袋上可写明投标人名称和联系方式。</w:t>
      </w:r>
    </w:p>
    <w:p>
      <w:pPr>
        <w:numPr>
          <w:ilvl w:val="0"/>
          <w:numId w:val="0"/>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3、投标人应在规定时间前将投标文件递交到指定地点。</w:t>
      </w: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四、项目概况</w:t>
      </w:r>
    </w:p>
    <w:p>
      <w:pPr>
        <w:numPr>
          <w:ilvl w:val="0"/>
          <w:numId w:val="0"/>
        </w:numPr>
        <w:ind w:firstLine="640" w:firstLineChars="200"/>
        <w:jc w:val="left"/>
        <w:rPr>
          <w:rFonts w:hint="eastAsia" w:ascii="仿宋_GB2312" w:hAnsi="仿宋_GB2312" w:eastAsia="仿宋_GB2312" w:cs="仿宋_GB2312"/>
          <w:b/>
          <w:bCs/>
          <w:color w:val="000000"/>
          <w:sz w:val="30"/>
          <w:szCs w:val="30"/>
          <w:u w:val="single"/>
          <w:lang w:val="en-US" w:eastAsia="zh-CN"/>
        </w:rPr>
      </w:pP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bCs/>
          <w:color w:val="000000"/>
          <w:sz w:val="30"/>
          <w:szCs w:val="30"/>
          <w:u w:val="single"/>
          <w:lang w:val="en-US" w:eastAsia="zh-CN"/>
        </w:rPr>
        <w:t>本项且由206 公路改建项目及公路沿线配套设施项目组成，两项目分别立项，共同设计实施，项目用地面积约800亩。</w:t>
      </w:r>
    </w:p>
    <w:p>
      <w:pPr>
        <w:numPr>
          <w:ilvl w:val="0"/>
          <w:numId w:val="0"/>
        </w:numPr>
        <w:ind w:firstLine="600" w:firstLineChars="200"/>
        <w:jc w:val="left"/>
        <w:rPr>
          <w:rFonts w:hint="eastAsia" w:ascii="仿宋_GB2312" w:hAnsi="仿宋_GB2312" w:eastAsia="仿宋_GB2312" w:cs="仿宋_GB2312"/>
          <w:b w:val="0"/>
          <w:bCs w:val="0"/>
          <w:color w:val="000000"/>
          <w:sz w:val="30"/>
          <w:szCs w:val="30"/>
          <w:u w:val="none"/>
          <w:lang w:val="en-US" w:eastAsia="zh-CN"/>
        </w:rPr>
      </w:pPr>
      <w:r>
        <w:rPr>
          <w:rFonts w:hint="eastAsia" w:ascii="仿宋_GB2312" w:hAnsi="仿宋_GB2312" w:eastAsia="仿宋_GB2312" w:cs="仿宋_GB2312"/>
          <w:b w:val="0"/>
          <w:bCs w:val="0"/>
          <w:color w:val="000000"/>
          <w:sz w:val="30"/>
          <w:szCs w:val="30"/>
          <w:u w:val="none"/>
          <w:lang w:val="en-US" w:eastAsia="zh-CN"/>
        </w:rPr>
        <w:t>公路项目：路线起于瑞金与会昌交界处，与现状 G206 国道</w:t>
      </w:r>
    </w:p>
    <w:p>
      <w:pPr>
        <w:numPr>
          <w:ilvl w:val="0"/>
          <w:numId w:val="0"/>
        </w:numPr>
        <w:jc w:val="left"/>
        <w:rPr>
          <w:rFonts w:hint="eastAsia" w:ascii="仿宋_GB2312" w:hAnsi="仿宋_GB2312" w:eastAsia="仿宋_GB2312" w:cs="仿宋_GB2312"/>
          <w:b w:val="0"/>
          <w:bCs w:val="0"/>
          <w:color w:val="000000"/>
          <w:sz w:val="30"/>
          <w:szCs w:val="30"/>
          <w:u w:val="none"/>
          <w:lang w:val="en-US" w:eastAsia="zh-CN"/>
        </w:rPr>
      </w:pPr>
      <w:r>
        <w:rPr>
          <w:rFonts w:hint="eastAsia" w:ascii="仿宋_GB2312" w:hAnsi="仿宋_GB2312" w:eastAsia="仿宋_GB2312" w:cs="仿宋_GB2312"/>
          <w:b w:val="0"/>
          <w:bCs w:val="0"/>
          <w:color w:val="000000"/>
          <w:sz w:val="30"/>
          <w:szCs w:val="30"/>
          <w:u w:val="none"/>
          <w:lang w:val="en-US" w:eastAsia="zh-CN"/>
        </w:rPr>
        <w:t>相接，从城北片区沿济广高速公路西侧边缘布线，路线走向基本为南北方向，终于九州大道与省道 S217 线交叉口处。路线全长约 7.55 公里（含利用段2.35公里），同步建设必要的交通工程和沿线设施，项目采用一级公路技术标准建设;设计时速 80公里/小时;起点至与同济大道交叉(K2024+260-K2025+360 ）及环城南路至终点段（K2030+795 -K2031+812.1）路基宽度25.5米，同济大道至环城南路段（K2025+360-K2030+795)，含利用段2.35公里,路基宽度 31.5米。</w:t>
      </w:r>
    </w:p>
    <w:p>
      <w:pPr>
        <w:numPr>
          <w:ilvl w:val="0"/>
          <w:numId w:val="0"/>
        </w:numPr>
        <w:ind w:firstLine="600" w:firstLineChars="200"/>
        <w:jc w:val="left"/>
        <w:rPr>
          <w:rFonts w:hint="eastAsia" w:ascii="仿宋_GB2312" w:hAnsi="仿宋_GB2312" w:eastAsia="仿宋_GB2312" w:cs="仿宋_GB2312"/>
          <w:b w:val="0"/>
          <w:bCs w:val="0"/>
          <w:color w:val="000000"/>
          <w:sz w:val="30"/>
          <w:szCs w:val="30"/>
          <w:u w:val="none"/>
          <w:lang w:val="en-US" w:eastAsia="zh-CN"/>
        </w:rPr>
      </w:pPr>
      <w:r>
        <w:rPr>
          <w:rFonts w:hint="eastAsia" w:ascii="仿宋_GB2312" w:hAnsi="仿宋_GB2312" w:eastAsia="仿宋_GB2312" w:cs="仿宋_GB2312"/>
          <w:b w:val="0"/>
          <w:bCs w:val="0"/>
          <w:color w:val="000000"/>
          <w:sz w:val="30"/>
          <w:szCs w:val="30"/>
          <w:u w:val="none"/>
          <w:lang w:val="en-US" w:eastAsia="zh-CN"/>
        </w:rPr>
        <w:t>配套设施项目：沿 G206 会昌县珠高寨至九州段两侧对称新</w:t>
      </w:r>
    </w:p>
    <w:p>
      <w:pPr>
        <w:numPr>
          <w:ilvl w:val="0"/>
          <w:numId w:val="0"/>
        </w:numPr>
        <w:jc w:val="left"/>
        <w:rPr>
          <w:rFonts w:hint="default" w:ascii="仿宋_GB2312" w:hAnsi="仿宋_GB2312" w:eastAsia="仿宋_GB2312" w:cs="仿宋_GB2312"/>
          <w:b w:val="0"/>
          <w:bCs w:val="0"/>
          <w:color w:val="000000"/>
          <w:sz w:val="30"/>
          <w:szCs w:val="30"/>
          <w:u w:val="none"/>
          <w:lang w:val="en-US" w:eastAsia="zh-CN"/>
        </w:rPr>
      </w:pPr>
      <w:r>
        <w:rPr>
          <w:rFonts w:hint="eastAsia" w:ascii="仿宋_GB2312" w:hAnsi="仿宋_GB2312" w:eastAsia="仿宋_GB2312" w:cs="仿宋_GB2312"/>
          <w:b w:val="0"/>
          <w:bCs w:val="0"/>
          <w:color w:val="000000"/>
          <w:sz w:val="30"/>
          <w:szCs w:val="30"/>
          <w:u w:val="none"/>
          <w:lang w:val="en-US" w:eastAsia="zh-CN"/>
        </w:rPr>
        <w:t>建侧向绿化分隔带、辅道及人行道、排水与管线工程、路面附属工程等，起点至与汉仙大道相接 (K2024+260-K2027+715) 两侧对称新建侧向绿化分隔带宽4 米，非机动车道宽8米，人行道宽5米；汉仙大道与环城南路相接 (K2030+065-K2030+795)两侧对称新建侧向绿化分隔带宽 4米，非机动车道完8米，人行道宽5米；环城南路段至终点段（K2030+795-K2031+812.1）两侧对称新建人行道宽7.25米。</w:t>
      </w:r>
    </w:p>
    <w:p>
      <w:pPr>
        <w:numPr>
          <w:ilvl w:val="0"/>
          <w:numId w:val="0"/>
        </w:numPr>
        <w:ind w:firstLine="600" w:firstLineChars="200"/>
        <w:jc w:val="left"/>
        <w:rPr>
          <w:rFonts w:hint="eastAsia" w:ascii="仿宋_GB2312" w:hAnsi="仿宋_GB2312" w:eastAsia="仿宋_GB2312" w:cs="仿宋_GB2312"/>
          <w:b w:val="0"/>
          <w:bCs w:val="0"/>
          <w:color w:val="000000"/>
          <w:sz w:val="30"/>
          <w:szCs w:val="30"/>
          <w:u w:val="none"/>
          <w:lang w:val="en-US" w:eastAsia="zh-CN"/>
        </w:rPr>
      </w:pPr>
    </w:p>
    <w:p>
      <w:pPr>
        <w:numPr>
          <w:ilvl w:val="0"/>
          <w:numId w:val="0"/>
        </w:numPr>
        <w:jc w:val="left"/>
        <w:rPr>
          <w:rFonts w:hint="default" w:ascii="仿宋_GB2312" w:hAnsi="仿宋_GB2312" w:eastAsia="仿宋_GB2312" w:cs="仿宋_GB2312"/>
          <w:color w:val="000000"/>
          <w:sz w:val="30"/>
          <w:szCs w:val="30"/>
          <w:lang w:val="en-US" w:eastAsia="zh-CN"/>
        </w:rPr>
      </w:pPr>
    </w:p>
    <w:p>
      <w:pPr>
        <w:numPr>
          <w:ilvl w:val="0"/>
          <w:numId w:val="0"/>
        </w:numPr>
        <w:jc w:val="left"/>
        <w:rPr>
          <w:rFonts w:hint="eastAsia" w:ascii="仿宋_GB2312" w:hAnsi="仿宋_GB2312" w:eastAsia="仿宋_GB2312" w:cs="仿宋_GB2312"/>
          <w:b w:val="0"/>
          <w:bCs w:val="0"/>
          <w:sz w:val="32"/>
          <w:szCs w:val="32"/>
          <w:lang w:val="en-US" w:eastAsia="zh-CN"/>
        </w:rPr>
      </w:pPr>
    </w:p>
    <w:p>
      <w:pPr>
        <w:ind w:firstLine="643" w:firstLineChars="200"/>
        <w:rPr>
          <w:rFonts w:hint="eastAsia" w:ascii="仿宋_GB2312" w:hAnsi="仿宋_GB2312" w:eastAsia="仿宋_GB2312" w:cs="仿宋_GB2312"/>
          <w:b/>
          <w:bCs/>
          <w:sz w:val="32"/>
          <w:szCs w:val="32"/>
          <w:lang w:val="en-US" w:eastAsia="zh-CN"/>
        </w:rPr>
        <w:sectPr>
          <w:pgSz w:w="11906" w:h="16838"/>
          <w:pgMar w:top="1440" w:right="1800" w:bottom="1440" w:left="1800" w:header="851" w:footer="992" w:gutter="0"/>
          <w:cols w:space="425" w:num="1"/>
          <w:docGrid w:type="lines" w:linePitch="312" w:charSpace="0"/>
        </w:sectPr>
      </w:pPr>
      <w:bookmarkStart w:id="5" w:name="_GoBack"/>
      <w:bookmarkEnd w:id="5"/>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五、招标控制价</w:t>
      </w:r>
    </w:p>
    <w:p>
      <w:pPr>
        <w:numPr>
          <w:ilvl w:val="0"/>
          <w:numId w:val="0"/>
        </w:numPr>
        <w:jc w:val="left"/>
        <w:rPr>
          <w:rFonts w:hint="eastAsia" w:ascii="宋体" w:hAnsi="宋体" w:cs="宋体"/>
          <w:b/>
          <w:bCs w:val="0"/>
          <w:color w:val="000000"/>
          <w:kern w:val="0"/>
          <w:sz w:val="36"/>
          <w:szCs w:val="36"/>
          <w:lang w:val="en-US" w:eastAsia="zh-CN"/>
        </w:rPr>
      </w:pPr>
    </w:p>
    <w:p>
      <w:pPr>
        <w:numPr>
          <w:ilvl w:val="0"/>
          <w:numId w:val="0"/>
        </w:numPr>
        <w:jc w:val="center"/>
        <w:rPr>
          <w:rFonts w:hint="eastAsia"/>
          <w:lang w:val="en-US" w:eastAsia="zh-CN"/>
        </w:rPr>
      </w:pPr>
      <w:r>
        <w:rPr>
          <w:rFonts w:hint="eastAsia" w:ascii="宋体" w:hAnsi="宋体" w:cs="宋体"/>
          <w:b/>
          <w:bCs w:val="0"/>
          <w:color w:val="000000"/>
          <w:kern w:val="0"/>
          <w:sz w:val="36"/>
          <w:szCs w:val="36"/>
          <w:lang w:val="en-US" w:eastAsia="zh-CN"/>
        </w:rPr>
        <w:t>控制价</w:t>
      </w:r>
    </w:p>
    <w:tbl>
      <w:tblPr>
        <w:tblStyle w:val="7"/>
        <w:tblpPr w:leftFromText="180" w:rightFromText="180" w:vertAnchor="text" w:horzAnchor="page" w:tblpX="1975" w:tblpY="212"/>
        <w:tblOverlap w:val="never"/>
        <w:tblW w:w="81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5"/>
        <w:gridCol w:w="1840"/>
        <w:gridCol w:w="1110"/>
        <w:gridCol w:w="1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055"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840"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控制价</w:t>
            </w:r>
          </w:p>
        </w:tc>
        <w:tc>
          <w:tcPr>
            <w:tcW w:w="1110"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仿宋" w:hAnsi="仿宋" w:eastAsia="仿宋" w:cs="仿宋"/>
                <w:sz w:val="28"/>
                <w:szCs w:val="28"/>
                <w:vertAlign w:val="baseline"/>
                <w:lang w:eastAsia="zh-CN"/>
              </w:rPr>
              <w:t>单位</w:t>
            </w:r>
          </w:p>
        </w:tc>
        <w:tc>
          <w:tcPr>
            <w:tcW w:w="1110" w:type="dxa"/>
            <w:vAlign w:val="center"/>
          </w:tcPr>
          <w:p>
            <w:pPr>
              <w:pStyle w:val="4"/>
              <w:ind w:left="0" w:leftChars="0" w:firstLine="0" w:firstLineChars="0"/>
              <w:jc w:val="center"/>
              <w:rPr>
                <w:rFonts w:hint="eastAsia" w:ascii="楷体" w:hAnsi="楷体" w:eastAsia="楷体" w:cs="楷体"/>
                <w:kern w:val="2"/>
                <w:sz w:val="28"/>
                <w:szCs w:val="28"/>
                <w:vertAlign w:val="baseline"/>
                <w:lang w:val="en-US" w:eastAsia="zh-CN" w:bidi="ar-SA"/>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4055"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b w:val="0"/>
                <w:bCs w:val="0"/>
                <w:sz w:val="28"/>
                <w:szCs w:val="28"/>
                <w:vertAlign w:val="baseline"/>
                <w:lang w:val="en-US" w:eastAsia="zh-CN"/>
              </w:rPr>
              <w:t>G206会昌县珠高寨至九州段公路改建工程项目</w:t>
            </w:r>
            <w:r>
              <w:rPr>
                <w:rFonts w:hint="eastAsia" w:ascii="仿宋" w:hAnsi="仿宋" w:eastAsia="仿宋" w:cs="仿宋"/>
                <w:sz w:val="28"/>
                <w:szCs w:val="28"/>
                <w:vertAlign w:val="baseline"/>
                <w:lang w:val="en-US" w:eastAsia="zh-CN"/>
              </w:rPr>
              <w:t>洪水影响评价</w:t>
            </w:r>
          </w:p>
        </w:tc>
        <w:tc>
          <w:tcPr>
            <w:tcW w:w="1840" w:type="dxa"/>
            <w:vMerge w:val="restart"/>
            <w:vAlign w:val="center"/>
          </w:tcPr>
          <w:p>
            <w:pPr>
              <w:pStyle w:val="4"/>
              <w:ind w:left="0" w:leftChars="0" w:firstLine="0" w:firstLineChars="0"/>
              <w:jc w:val="center"/>
              <w:rPr>
                <w:rFonts w:hint="eastAsia" w:ascii="仿宋" w:hAnsi="仿宋" w:eastAsia="仿宋" w:cs="仿宋"/>
                <w:color w:val="FF0000"/>
                <w:sz w:val="28"/>
                <w:szCs w:val="28"/>
                <w:vertAlign w:val="baseline"/>
                <w:lang w:val="en-US" w:eastAsia="zh-CN"/>
              </w:rPr>
            </w:pPr>
            <w:r>
              <w:rPr>
                <w:rFonts w:hint="eastAsia" w:ascii="仿宋" w:hAnsi="仿宋" w:eastAsia="仿宋" w:cs="仿宋"/>
                <w:color w:val="000000"/>
                <w:sz w:val="28"/>
                <w:szCs w:val="28"/>
                <w:vertAlign w:val="baseline"/>
                <w:lang w:val="en-US" w:eastAsia="zh-CN"/>
              </w:rPr>
              <w:t>10</w:t>
            </w:r>
          </w:p>
        </w:tc>
        <w:tc>
          <w:tcPr>
            <w:tcW w:w="1110" w:type="dxa"/>
            <w:vMerge w:val="restart"/>
            <w:vAlign w:val="center"/>
          </w:tcPr>
          <w:p>
            <w:pPr>
              <w:pStyle w:val="4"/>
              <w:ind w:left="0" w:leftChars="0" w:firstLine="0" w:firstLineChars="0"/>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sz w:val="28"/>
                <w:szCs w:val="28"/>
                <w:vertAlign w:val="baseline"/>
                <w:lang w:val="en-US" w:eastAsia="zh-CN"/>
              </w:rPr>
              <w:t>万元</w:t>
            </w:r>
          </w:p>
        </w:tc>
        <w:tc>
          <w:tcPr>
            <w:tcW w:w="1110" w:type="dxa"/>
            <w:vMerge w:val="restart"/>
            <w:vAlign w:val="center"/>
          </w:tcPr>
          <w:p>
            <w:pPr>
              <w:pStyle w:val="4"/>
              <w:ind w:left="0" w:leftChars="0" w:firstLine="0" w:firstLineChars="0"/>
              <w:jc w:val="center"/>
              <w:rPr>
                <w:rFonts w:hint="eastAsia" w:ascii="仿宋" w:hAnsi="仿宋" w:eastAsia="仿宋" w:cs="仿宋"/>
                <w:b w:val="0"/>
                <w:bCs w:val="0"/>
                <w:kern w:val="2"/>
                <w:sz w:val="28"/>
                <w:szCs w:val="28"/>
                <w:vertAlign w:val="baseline"/>
                <w:lang w:val="en-US" w:eastAsia="zh-CN" w:bidi="ar-SA"/>
              </w:rPr>
            </w:pPr>
            <w:r>
              <w:rPr>
                <w:rFonts w:hint="eastAsia" w:ascii="仿宋" w:hAnsi="仿宋" w:eastAsia="仿宋" w:cs="仿宋"/>
                <w:b w:val="0"/>
                <w:bCs w:val="0"/>
                <w:sz w:val="28"/>
                <w:szCs w:val="28"/>
                <w:vertAlign w:val="baseline"/>
                <w:lang w:val="en-US" w:eastAsia="zh-CN"/>
              </w:rPr>
              <w:t>最高投标限价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4055" w:type="dxa"/>
            <w:vAlign w:val="center"/>
          </w:tcPr>
          <w:p>
            <w:pPr>
              <w:pStyle w:val="4"/>
              <w:ind w:left="0" w:leftChars="0" w:firstLine="0" w:firstLineChars="0"/>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G206会昌县珠高寨至九州段公路沿线配套设施建设项目</w:t>
            </w:r>
            <w:r>
              <w:rPr>
                <w:rFonts w:hint="eastAsia" w:ascii="仿宋" w:hAnsi="仿宋" w:eastAsia="仿宋" w:cs="仿宋"/>
                <w:sz w:val="28"/>
                <w:szCs w:val="28"/>
                <w:vertAlign w:val="baseline"/>
                <w:lang w:val="en-US" w:eastAsia="zh-CN"/>
              </w:rPr>
              <w:t>洪水影响评价</w:t>
            </w:r>
          </w:p>
        </w:tc>
        <w:tc>
          <w:tcPr>
            <w:tcW w:w="1840" w:type="dxa"/>
            <w:vMerge w:val="continue"/>
            <w:vAlign w:val="center"/>
          </w:tcPr>
          <w:p>
            <w:pPr>
              <w:pStyle w:val="4"/>
              <w:ind w:left="0" w:leftChars="0" w:firstLine="0" w:firstLineChars="0"/>
              <w:jc w:val="center"/>
              <w:rPr>
                <w:rFonts w:hint="eastAsia" w:ascii="仿宋" w:hAnsi="仿宋" w:eastAsia="仿宋" w:cs="仿宋"/>
                <w:color w:val="000000"/>
                <w:sz w:val="28"/>
                <w:szCs w:val="28"/>
                <w:vertAlign w:val="baseline"/>
                <w:lang w:val="en-US" w:eastAsia="zh-CN"/>
              </w:rPr>
            </w:pPr>
          </w:p>
        </w:tc>
        <w:tc>
          <w:tcPr>
            <w:tcW w:w="1110" w:type="dxa"/>
            <w:vMerge w:val="continue"/>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p>
        </w:tc>
        <w:tc>
          <w:tcPr>
            <w:tcW w:w="1110" w:type="dxa"/>
            <w:vMerge w:val="continue"/>
            <w:vAlign w:val="center"/>
          </w:tcPr>
          <w:p>
            <w:pPr>
              <w:pStyle w:val="4"/>
              <w:ind w:left="0" w:leftChars="0" w:firstLine="0" w:firstLineChars="0"/>
              <w:jc w:val="center"/>
              <w:rPr>
                <w:rFonts w:hint="eastAsia" w:ascii="仿宋" w:hAnsi="仿宋" w:eastAsia="仿宋" w:cs="仿宋"/>
                <w:b w:val="0"/>
                <w:bCs w:val="0"/>
                <w:sz w:val="28"/>
                <w:szCs w:val="28"/>
                <w:vertAlign w:val="baseline"/>
                <w:lang w:val="en-US" w:eastAsia="zh-CN"/>
              </w:rPr>
            </w:pPr>
          </w:p>
        </w:tc>
      </w:tr>
    </w:tbl>
    <w:p>
      <w:pPr>
        <w:widowControl/>
        <w:spacing w:line="500" w:lineRule="exact"/>
        <w:jc w:val="both"/>
        <w:rPr>
          <w:rFonts w:hint="eastAsia" w:ascii="宋体" w:hAnsi="宋体" w:cs="宋体"/>
          <w:b w:val="0"/>
          <w:bCs/>
          <w:color w:val="000000"/>
          <w:kern w:val="0"/>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r>
        <w:rPr>
          <w:rFonts w:hint="eastAsia" w:ascii="宋体" w:hAnsi="宋体" w:cs="宋体"/>
          <w:b w:val="0"/>
          <w:bCs/>
          <w:color w:val="000000"/>
          <w:kern w:val="0"/>
          <w:sz w:val="32"/>
          <w:szCs w:val="32"/>
          <w:lang w:val="en-US" w:eastAsia="zh-CN"/>
        </w:rPr>
        <w:t>注意事项：投标报价超出控制价的视为无效投标。</w:t>
      </w:r>
    </w:p>
    <w:p>
      <w:pPr>
        <w:ind w:firstLine="643" w:firstLineChars="200"/>
        <w:rPr>
          <w:rFonts w:hint="eastAsia" w:ascii="仿宋_GB2312" w:hAnsi="仿宋_GB2312" w:eastAsia="仿宋_GB2312" w:cs="仿宋_GB2312"/>
          <w:b/>
          <w:bCs/>
          <w:sz w:val="32"/>
          <w:szCs w:val="32"/>
          <w:lang w:val="en-US" w:eastAsia="zh-CN"/>
        </w:rPr>
        <w:sectPr>
          <w:pgSz w:w="11906" w:h="16838"/>
          <w:pgMar w:top="1440" w:right="1800" w:bottom="1440" w:left="1800" w:header="851" w:footer="992" w:gutter="0"/>
          <w:cols w:space="425" w:num="1"/>
          <w:docGrid w:type="lines" w:linePitch="312" w:charSpace="0"/>
        </w:sectPr>
      </w:pPr>
    </w:p>
    <w:p>
      <w:pPr>
        <w:ind w:firstLine="643" w:firstLineChars="200"/>
        <w:rPr>
          <w:rFonts w:hint="eastAsia" w:ascii="仿宋_GB2312" w:hAnsi="仿宋_GB2312" w:eastAsia="仿宋_GB2312" w:cs="仿宋_GB2312"/>
          <w:b/>
          <w:bCs/>
          <w:sz w:val="32"/>
          <w:szCs w:val="32"/>
          <w:lang w:val="en-US" w:eastAsia="zh-CN"/>
        </w:rPr>
      </w:pPr>
    </w:p>
    <w:p>
      <w:pPr>
        <w:widowControl/>
        <w:spacing w:line="500" w:lineRule="exact"/>
        <w:ind w:firstLine="722"/>
        <w:jc w:val="both"/>
        <w:rPr>
          <w:rFonts w:hint="default" w:ascii="宋体" w:hAnsi="宋体" w:cs="宋体"/>
          <w:b w:val="0"/>
          <w:bCs/>
          <w:color w:val="000000"/>
          <w:kern w:val="0"/>
          <w:sz w:val="32"/>
          <w:szCs w:val="32"/>
          <w:lang w:val="en-US" w:eastAsia="zh-CN"/>
        </w:rPr>
      </w:pPr>
    </w:p>
    <w:p>
      <w:pPr>
        <w:widowControl/>
        <w:spacing w:line="500" w:lineRule="exact"/>
        <w:jc w:val="center"/>
        <w:rPr>
          <w:rFonts w:hint="eastAsia" w:ascii="宋体" w:hAnsi="宋体" w:eastAsia="宋体" w:cs="宋体"/>
          <w:b/>
          <w:bCs w:val="0"/>
          <w:color w:val="000000"/>
          <w:kern w:val="0"/>
          <w:sz w:val="36"/>
          <w:szCs w:val="36"/>
          <w:lang w:eastAsia="zh-CN"/>
        </w:rPr>
      </w:pPr>
      <w:r>
        <w:rPr>
          <w:rFonts w:hint="eastAsia" w:ascii="宋体" w:hAnsi="宋体" w:cs="宋体"/>
          <w:b/>
          <w:bCs w:val="0"/>
          <w:color w:val="000000"/>
          <w:kern w:val="0"/>
          <w:sz w:val="36"/>
          <w:szCs w:val="36"/>
          <w:lang w:eastAsia="zh-CN"/>
        </w:rPr>
        <w:t>报价表</w:t>
      </w:r>
    </w:p>
    <w:tbl>
      <w:tblPr>
        <w:tblStyle w:val="7"/>
        <w:tblpPr w:leftFromText="180" w:rightFromText="180" w:vertAnchor="text" w:horzAnchor="page" w:tblpX="1975" w:tblpY="2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2"/>
        <w:gridCol w:w="1400"/>
        <w:gridCol w:w="1566"/>
        <w:gridCol w:w="1584"/>
        <w:gridCol w:w="1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2"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项目名称</w:t>
            </w:r>
          </w:p>
        </w:tc>
        <w:tc>
          <w:tcPr>
            <w:tcW w:w="1400"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类型</w:t>
            </w:r>
          </w:p>
        </w:tc>
        <w:tc>
          <w:tcPr>
            <w:tcW w:w="1566"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投标报价</w:t>
            </w:r>
          </w:p>
        </w:tc>
        <w:tc>
          <w:tcPr>
            <w:tcW w:w="1584"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单位</w:t>
            </w:r>
          </w:p>
        </w:tc>
        <w:tc>
          <w:tcPr>
            <w:tcW w:w="1757"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8" w:hRule="atLeast"/>
        </w:trPr>
        <w:tc>
          <w:tcPr>
            <w:tcW w:w="2212"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p>
        </w:tc>
        <w:tc>
          <w:tcPr>
            <w:tcW w:w="1400"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洪水影响评价</w:t>
            </w:r>
          </w:p>
        </w:tc>
        <w:tc>
          <w:tcPr>
            <w:tcW w:w="1566"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p>
        </w:tc>
        <w:tc>
          <w:tcPr>
            <w:tcW w:w="1584"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p>
        </w:tc>
        <w:tc>
          <w:tcPr>
            <w:tcW w:w="1757"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固定单价</w:t>
            </w:r>
          </w:p>
        </w:tc>
      </w:tr>
    </w:tbl>
    <w:p>
      <w:pPr>
        <w:ind w:firstLine="640" w:firstLineChars="200"/>
        <w:rPr>
          <w:rFonts w:hint="eastAsia" w:ascii="仿宋_GB2312" w:hAnsi="仿宋_GB2312" w:eastAsia="仿宋_GB2312" w:cs="仿宋_GB2312"/>
          <w:b w:val="0"/>
          <w:bCs w:val="0"/>
          <w:sz w:val="32"/>
          <w:szCs w:val="32"/>
          <w:lang w:val="en-US" w:eastAsia="zh-CN"/>
        </w:rPr>
      </w:pPr>
    </w:p>
    <w:p>
      <w:pPr>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我公司已在报价前已充分进行了现场踏勘、考虑了风险评估及工期提前等所有风险，上述报价包含</w:t>
      </w:r>
      <w:r>
        <w:rPr>
          <w:rFonts w:hint="eastAsia" w:ascii="仿宋" w:hAnsi="仿宋" w:eastAsia="仿宋" w:cs="仿宋"/>
          <w:b w:val="0"/>
          <w:bCs/>
          <w:color w:val="000000"/>
          <w:sz w:val="32"/>
          <w:szCs w:val="32"/>
          <w:lang w:eastAsia="zh-CN"/>
        </w:rPr>
        <w:t>项目洪水影响评价</w:t>
      </w:r>
      <w:r>
        <w:rPr>
          <w:rFonts w:hint="eastAsia" w:ascii="仿宋" w:hAnsi="仿宋" w:eastAsia="仿宋" w:cs="仿宋"/>
          <w:b w:val="0"/>
          <w:bCs/>
          <w:color w:val="000000"/>
          <w:sz w:val="32"/>
          <w:szCs w:val="32"/>
          <w:lang w:val="en-US" w:eastAsia="zh-CN"/>
        </w:rPr>
        <w:t>等相关费用并</w:t>
      </w:r>
      <w:r>
        <w:rPr>
          <w:rFonts w:hint="eastAsia" w:ascii="仿宋_GB2312" w:hAnsi="仿宋_GB2312" w:eastAsia="仿宋_GB2312" w:cs="仿宋_GB2312"/>
          <w:b w:val="0"/>
          <w:bCs w:val="0"/>
          <w:sz w:val="32"/>
          <w:szCs w:val="32"/>
          <w:lang w:val="en-US" w:eastAsia="zh-CN"/>
        </w:rPr>
        <w:t>按项目实际情况和设计图纸要求提交以上报价。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160" w:firstLineChars="13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3200" w:firstLineChars="10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2023年    月    日</w:t>
      </w:r>
    </w:p>
    <w:p>
      <w:pPr>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br w:type="page"/>
      </w:r>
    </w:p>
    <w:p>
      <w:pPr>
        <w:spacing w:line="480" w:lineRule="exact"/>
        <w:jc w:val="center"/>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spacing w:line="480" w:lineRule="exact"/>
        <w:jc w:val="center"/>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c3MzZjZmQzYWE0ZmVlMTA2MzViNjEyNTY5ZjQzMDMifQ=="/>
  </w:docVars>
  <w:rsids>
    <w:rsidRoot w:val="00000000"/>
    <w:rsid w:val="0394658D"/>
    <w:rsid w:val="05AF4358"/>
    <w:rsid w:val="06C0204E"/>
    <w:rsid w:val="09D94AF6"/>
    <w:rsid w:val="0B2D1730"/>
    <w:rsid w:val="0F6B4008"/>
    <w:rsid w:val="11D460EA"/>
    <w:rsid w:val="12DD7EA1"/>
    <w:rsid w:val="15B7218A"/>
    <w:rsid w:val="1CBD66FD"/>
    <w:rsid w:val="1EB46AB1"/>
    <w:rsid w:val="2E9B2161"/>
    <w:rsid w:val="2FF46872"/>
    <w:rsid w:val="369D236E"/>
    <w:rsid w:val="3C8A7EBB"/>
    <w:rsid w:val="41E77C61"/>
    <w:rsid w:val="42585F79"/>
    <w:rsid w:val="4D46449D"/>
    <w:rsid w:val="4D9F479C"/>
    <w:rsid w:val="5BA43021"/>
    <w:rsid w:val="6A6F437D"/>
    <w:rsid w:val="6FCB3F33"/>
    <w:rsid w:val="70EA7D0D"/>
    <w:rsid w:val="759913CB"/>
    <w:rsid w:val="7D3923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2"/>
    <w:basedOn w:val="1"/>
    <w:next w:val="1"/>
    <w:qFormat/>
    <w:uiPriority w:val="0"/>
    <w:pPr>
      <w:adjustRightInd w:val="0"/>
      <w:snapToGrid w:val="0"/>
      <w:spacing w:beforeAutospacing="0" w:afterAutospacing="0" w:line="360" w:lineRule="auto"/>
      <w:ind w:firstLine="643" w:firstLineChars="200"/>
      <w:jc w:val="left"/>
      <w:outlineLvl w:val="1"/>
    </w:pPr>
    <w:rPr>
      <w:rFonts w:hint="eastAsia"/>
      <w:b/>
      <w:bCs/>
      <w:kern w:val="0"/>
    </w:rPr>
  </w:style>
  <w:style w:type="character" w:default="1" w:styleId="8">
    <w:name w:val="Default Paragraph Font"/>
    <w:qFormat/>
    <w:uiPriority w:val="0"/>
  </w:style>
  <w:style w:type="table" w:default="1" w:styleId="6">
    <w:name w:val="Normal Table"/>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sz w:val="21"/>
    </w:rPr>
  </w:style>
  <w:style w:type="paragraph" w:styleId="5">
    <w:name w:val="Body Text First Indent 2"/>
    <w:basedOn w:val="4"/>
    <w:qFormat/>
    <w:uiPriority w:val="0"/>
    <w:pPr>
      <w:ind w:firstLine="420" w:firstLineChars="200"/>
    </w:pPr>
    <w:rPr>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Emphasis"/>
    <w:basedOn w:val="8"/>
    <w:qFormat/>
    <w:uiPriority w:val="0"/>
    <w:rPr>
      <w:i/>
    </w:rPr>
  </w:style>
  <w:style w:type="character" w:styleId="10">
    <w:name w:val="Hyperlink"/>
    <w:qFormat/>
    <w:uiPriority w:val="0"/>
    <w:rPr>
      <w:color w:val="0000FF"/>
      <w:u w:val="single"/>
    </w:rPr>
  </w:style>
  <w:style w:type="character" w:customStyle="1" w:styleId="11">
    <w:name w:val="font41"/>
    <w:basedOn w:val="8"/>
    <w:qFormat/>
    <w:uiPriority w:val="0"/>
    <w:rPr>
      <w:rFonts w:hint="eastAsia" w:ascii="宋体" w:hAnsi="宋体" w:eastAsia="宋体" w:cs="宋体"/>
      <w:color w:val="000000"/>
      <w:sz w:val="18"/>
      <w:szCs w:val="18"/>
      <w:u w:val="none"/>
    </w:rPr>
  </w:style>
  <w:style w:type="character" w:customStyle="1" w:styleId="12">
    <w:name w:val="font31"/>
    <w:basedOn w:val="8"/>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1890</Words>
  <Characters>2109</Characters>
  <Paragraphs>155</Paragraphs>
  <TotalTime>1</TotalTime>
  <ScaleCrop>false</ScaleCrop>
  <LinksUpToDate>false</LinksUpToDate>
  <CharactersWithSpaces>2225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zy</cp:lastModifiedBy>
  <cp:lastPrinted>2023-06-12T08:09:00Z</cp:lastPrinted>
  <dcterms:modified xsi:type="dcterms:W3CDTF">2023-06-14T09:39:15Z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D5686C311FAE457A99D700CBCB49C080</vt:lpwstr>
  </property>
</Properties>
</file>