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bCs/>
          <w:sz w:val="36"/>
          <w:szCs w:val="36"/>
          <w:lang w:val="en-US" w:eastAsia="zh-CN"/>
        </w:rPr>
      </w:pPr>
      <w:r>
        <w:rPr>
          <w:rFonts w:hint="eastAsia" w:ascii="仿宋" w:hAnsi="仿宋" w:eastAsia="仿宋" w:cs="仿宋"/>
          <w:b/>
          <w:sz w:val="36"/>
          <w:szCs w:val="36"/>
          <w:u w:val="none"/>
        </w:rPr>
        <w:t>会昌县公立托育机构建设项目</w:t>
      </w:r>
      <w:r>
        <w:rPr>
          <w:rFonts w:hint="eastAsia" w:ascii="仿宋" w:hAnsi="仿宋" w:eastAsia="仿宋" w:cs="仿宋"/>
          <w:b/>
          <w:sz w:val="36"/>
          <w:szCs w:val="36"/>
          <w:u w:val="none"/>
          <w:lang w:eastAsia="zh-CN"/>
        </w:rPr>
        <w:t>、会昌县第六幼儿园项目及</w:t>
      </w:r>
      <w:r>
        <w:rPr>
          <w:rFonts w:hint="eastAsia" w:ascii="仿宋" w:hAnsi="仿宋" w:eastAsia="仿宋" w:cs="仿宋"/>
          <w:b/>
          <w:sz w:val="36"/>
          <w:szCs w:val="36"/>
          <w:u w:val="none"/>
        </w:rPr>
        <w:t>会昌县消防训练基地（九州大道特勤消防救援站）建设项目</w:t>
      </w:r>
      <w:r>
        <w:rPr>
          <w:rFonts w:hint="eastAsia" w:ascii="仿宋" w:hAnsi="仿宋" w:eastAsia="仿宋" w:cs="仿宋"/>
          <w:b/>
          <w:sz w:val="36"/>
          <w:szCs w:val="36"/>
          <w:u w:val="none"/>
          <w:lang w:eastAsia="zh-CN"/>
        </w:rPr>
        <w:t>主体检测工作的询价</w:t>
      </w:r>
    </w:p>
    <w:p>
      <w:pPr>
        <w:jc w:val="left"/>
        <w:rPr>
          <w:rFonts w:hint="eastAsia" w:ascii="仿宋" w:hAnsi="仿宋" w:eastAsia="仿宋" w:cs="仿宋"/>
          <w:b/>
          <w:bCs/>
          <w:sz w:val="28"/>
          <w:szCs w:val="36"/>
          <w:lang w:val="en-US" w:eastAsia="zh-CN"/>
        </w:rPr>
      </w:pPr>
      <w:r>
        <w:rPr>
          <w:rFonts w:hint="eastAsia" w:ascii="仿宋" w:hAnsi="仿宋" w:eastAsia="仿宋" w:cs="仿宋"/>
          <w:b/>
          <w:bCs/>
          <w:sz w:val="28"/>
          <w:szCs w:val="36"/>
          <w:lang w:val="en-US" w:eastAsia="zh-CN"/>
        </w:rPr>
        <w:t>一、投标人须知</w:t>
      </w:r>
    </w:p>
    <w:tbl>
      <w:tblPr>
        <w:tblStyle w:val="7"/>
        <w:tblpPr w:leftFromText="180" w:rightFromText="180" w:vertAnchor="text" w:horzAnchor="page" w:tblpX="1462" w:tblpY="60"/>
        <w:tblOverlap w:val="never"/>
        <w:tblW w:w="95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6"/>
        <w:gridCol w:w="1629"/>
        <w:gridCol w:w="7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946" w:type="dxa"/>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项号</w:t>
            </w:r>
          </w:p>
        </w:tc>
        <w:tc>
          <w:tcPr>
            <w:tcW w:w="1629" w:type="dxa"/>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内 容</w:t>
            </w:r>
          </w:p>
        </w:tc>
        <w:tc>
          <w:tcPr>
            <w:tcW w:w="7020" w:type="dxa"/>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1</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招标人</w:t>
            </w:r>
          </w:p>
        </w:tc>
        <w:tc>
          <w:tcPr>
            <w:tcW w:w="7020" w:type="dxa"/>
            <w:vAlign w:val="center"/>
          </w:tcPr>
          <w:p>
            <w:pPr>
              <w:jc w:val="center"/>
              <w:rPr>
                <w:rFonts w:hint="default" w:ascii="仿宋" w:hAnsi="仿宋" w:eastAsia="仿宋" w:cs="仿宋"/>
                <w:b w:val="0"/>
                <w:bCs/>
                <w:sz w:val="30"/>
                <w:szCs w:val="30"/>
                <w:u w:val="none"/>
              </w:rPr>
            </w:pPr>
            <w:r>
              <w:rPr>
                <w:rFonts w:hint="eastAsia" w:ascii="仿宋" w:hAnsi="仿宋" w:eastAsia="仿宋" w:cs="仿宋"/>
                <w:b w:val="0"/>
                <w:bCs/>
                <w:sz w:val="30"/>
                <w:szCs w:val="30"/>
                <w:u w:val="none"/>
              </w:rPr>
              <w:t>会昌县城</w:t>
            </w:r>
            <w:r>
              <w:rPr>
                <w:rFonts w:hint="default" w:ascii="仿宋" w:hAnsi="仿宋" w:eastAsia="仿宋" w:cs="仿宋"/>
                <w:b w:val="0"/>
                <w:bCs/>
                <w:sz w:val="30"/>
                <w:szCs w:val="30"/>
                <w:u w:val="none"/>
              </w:rPr>
              <w:t>市发展投资有限责任公司</w:t>
            </w:r>
          </w:p>
          <w:p>
            <w:pPr>
              <w:jc w:val="center"/>
              <w:rPr>
                <w:rFonts w:hint="eastAsia" w:ascii="仿宋" w:hAnsi="仿宋" w:eastAsia="仿宋" w:cs="仿宋"/>
                <w:b w:val="0"/>
                <w:bCs/>
                <w:sz w:val="30"/>
                <w:szCs w:val="30"/>
                <w:u w:val="none"/>
                <w:lang w:val="en-US" w:eastAsia="zh-CN"/>
              </w:rPr>
            </w:pPr>
            <w:r>
              <w:rPr>
                <w:rFonts w:hint="eastAsia" w:ascii="仿宋" w:hAnsi="仿宋" w:eastAsia="仿宋" w:cs="仿宋"/>
                <w:b w:val="0"/>
                <w:bCs/>
                <w:sz w:val="30"/>
                <w:szCs w:val="30"/>
                <w:u w:val="none"/>
                <w:lang w:eastAsia="zh-CN"/>
              </w:rPr>
              <w:t>会昌县德欣教育科技有限公司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2</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项目名称</w:t>
            </w:r>
          </w:p>
        </w:tc>
        <w:tc>
          <w:tcPr>
            <w:tcW w:w="7020" w:type="dxa"/>
            <w:vAlign w:val="center"/>
          </w:tcPr>
          <w:p>
            <w:pPr>
              <w:spacing w:line="700" w:lineRule="exact"/>
              <w:jc w:val="center"/>
              <w:rPr>
                <w:rFonts w:hint="default" w:ascii="仿宋" w:hAnsi="仿宋" w:eastAsia="仿宋_GB2312" w:cs="仿宋"/>
                <w:b w:val="0"/>
                <w:bCs w:val="0"/>
                <w:sz w:val="30"/>
                <w:szCs w:val="30"/>
                <w:vertAlign w:val="baseline"/>
                <w:lang w:val="en-US" w:eastAsia="zh-CN"/>
              </w:rPr>
            </w:pPr>
            <w:r>
              <w:rPr>
                <w:rFonts w:hint="eastAsia" w:ascii="仿宋" w:hAnsi="仿宋" w:eastAsia="仿宋" w:cs="仿宋"/>
                <w:b w:val="0"/>
                <w:bCs/>
                <w:sz w:val="30"/>
                <w:szCs w:val="30"/>
                <w:u w:val="none"/>
              </w:rPr>
              <w:t>会昌县公立托育机构建设项目</w:t>
            </w:r>
            <w:r>
              <w:rPr>
                <w:rFonts w:hint="eastAsia" w:ascii="仿宋" w:hAnsi="仿宋" w:eastAsia="仿宋" w:cs="仿宋"/>
                <w:b w:val="0"/>
                <w:bCs/>
                <w:sz w:val="30"/>
                <w:szCs w:val="30"/>
                <w:u w:val="none"/>
                <w:lang w:eastAsia="zh-CN"/>
              </w:rPr>
              <w:t>、会昌县第六幼儿园项目及</w:t>
            </w:r>
            <w:r>
              <w:rPr>
                <w:rFonts w:hint="eastAsia" w:ascii="仿宋" w:hAnsi="仿宋" w:eastAsia="仿宋" w:cs="仿宋"/>
                <w:b w:val="0"/>
                <w:bCs/>
                <w:sz w:val="30"/>
                <w:szCs w:val="30"/>
                <w:u w:val="none"/>
              </w:rPr>
              <w:t>会昌县消防训练基地（九州大道特勤消防救援站）建设项目</w:t>
            </w:r>
            <w:r>
              <w:rPr>
                <w:rFonts w:hint="eastAsia" w:ascii="仿宋" w:hAnsi="仿宋" w:eastAsia="仿宋" w:cs="仿宋"/>
                <w:b w:val="0"/>
                <w:bCs/>
                <w:sz w:val="30"/>
                <w:szCs w:val="30"/>
                <w:u w:val="none"/>
                <w:lang w:eastAsia="zh-CN"/>
              </w:rPr>
              <w:t>主体检测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3</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项目地点</w:t>
            </w:r>
          </w:p>
        </w:tc>
        <w:tc>
          <w:tcPr>
            <w:tcW w:w="7020" w:type="dxa"/>
            <w:vAlign w:val="center"/>
          </w:tcPr>
          <w:p>
            <w:pPr>
              <w:jc w:val="center"/>
              <w:rPr>
                <w:rFonts w:hint="default"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会昌县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6"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4</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招标范围</w:t>
            </w:r>
          </w:p>
        </w:tc>
        <w:tc>
          <w:tcPr>
            <w:tcW w:w="7020"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sz w:val="30"/>
                <w:szCs w:val="30"/>
                <w:u w:val="none"/>
              </w:rPr>
              <w:t>会昌县公立托育机构建设项目</w:t>
            </w:r>
            <w:r>
              <w:rPr>
                <w:rFonts w:hint="eastAsia" w:ascii="仿宋" w:hAnsi="仿宋" w:eastAsia="仿宋" w:cs="仿宋"/>
                <w:b w:val="0"/>
                <w:bCs/>
                <w:sz w:val="30"/>
                <w:szCs w:val="30"/>
                <w:u w:val="none"/>
                <w:lang w:eastAsia="zh-CN"/>
              </w:rPr>
              <w:t>、会昌县第六幼儿园项目及</w:t>
            </w:r>
            <w:r>
              <w:rPr>
                <w:rFonts w:hint="eastAsia" w:ascii="仿宋" w:hAnsi="仿宋" w:eastAsia="仿宋" w:cs="仿宋"/>
                <w:b w:val="0"/>
                <w:bCs/>
                <w:sz w:val="30"/>
                <w:szCs w:val="30"/>
                <w:u w:val="none"/>
              </w:rPr>
              <w:t>会昌县消防训练基地（九州大道特勤消防救援站）建设项目</w:t>
            </w:r>
            <w:r>
              <w:rPr>
                <w:rFonts w:hint="eastAsia" w:ascii="仿宋" w:hAnsi="仿宋" w:eastAsia="仿宋" w:cs="仿宋"/>
                <w:b w:val="0"/>
                <w:bCs/>
                <w:sz w:val="30"/>
                <w:szCs w:val="30"/>
                <w:u w:val="none"/>
                <w:lang w:eastAsia="zh-CN"/>
              </w:rPr>
              <w:t>主体检测</w:t>
            </w:r>
            <w:r>
              <w:rPr>
                <w:rFonts w:hint="eastAsia" w:ascii="仿宋" w:hAnsi="仿宋" w:eastAsia="仿宋" w:cs="仿宋"/>
                <w:b w:val="0"/>
                <w:bCs w:val="0"/>
                <w:sz w:val="30"/>
                <w:szCs w:val="30"/>
                <w:vertAlign w:val="baseline"/>
                <w:lang w:val="en-US" w:eastAsia="zh-CN"/>
              </w:rPr>
              <w:t>事宜。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5</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资金来源</w:t>
            </w:r>
          </w:p>
        </w:tc>
        <w:tc>
          <w:tcPr>
            <w:tcW w:w="7020"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sz w:val="30"/>
                <w:szCs w:val="30"/>
                <w:u w:val="none"/>
              </w:rPr>
              <w:t>一般债券资金</w:t>
            </w:r>
            <w:r>
              <w:rPr>
                <w:rFonts w:hint="eastAsia" w:ascii="仿宋" w:hAnsi="仿宋" w:eastAsia="仿宋" w:cs="仿宋"/>
                <w:b w:val="0"/>
                <w:bCs/>
                <w:sz w:val="30"/>
                <w:szCs w:val="30"/>
                <w:u w:val="none"/>
                <w:lang w:eastAsia="zh-CN"/>
              </w:rPr>
              <w:t>、地方财政</w:t>
            </w:r>
            <w:r>
              <w:rPr>
                <w:rFonts w:hint="eastAsia" w:ascii="仿宋" w:hAnsi="仿宋" w:eastAsia="仿宋" w:cs="仿宋"/>
                <w:b w:val="0"/>
                <w:bCs/>
                <w:sz w:val="30"/>
                <w:szCs w:val="30"/>
                <w:u w:val="none"/>
              </w:rPr>
              <w:t>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6</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工艺要求</w:t>
            </w:r>
          </w:p>
        </w:tc>
        <w:tc>
          <w:tcPr>
            <w:tcW w:w="7020" w:type="dxa"/>
            <w:vAlign w:val="center"/>
          </w:tcPr>
          <w:p>
            <w:pPr>
              <w:numPr>
                <w:ilvl w:val="0"/>
                <w:numId w:val="0"/>
              </w:numPr>
              <w:jc w:val="both"/>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sz w:val="30"/>
                <w:szCs w:val="30"/>
                <w:u w:val="none"/>
              </w:rPr>
              <w:t>按照《</w:t>
            </w:r>
            <w:r>
              <w:rPr>
                <w:rFonts w:hint="eastAsia" w:ascii="仿宋" w:hAnsi="仿宋" w:eastAsia="仿宋" w:cs="仿宋"/>
                <w:b w:val="0"/>
                <w:bCs/>
                <w:sz w:val="30"/>
                <w:szCs w:val="30"/>
                <w:u w:val="none"/>
              </w:rPr>
              <w:fldChar w:fldCharType="begin"/>
            </w:r>
            <w:r>
              <w:rPr>
                <w:rFonts w:hint="eastAsia" w:ascii="仿宋" w:hAnsi="仿宋" w:eastAsia="仿宋" w:cs="仿宋"/>
                <w:b w:val="0"/>
                <w:bCs/>
                <w:sz w:val="30"/>
                <w:szCs w:val="30"/>
                <w:u w:val="none"/>
              </w:rPr>
              <w:instrText xml:space="preserve"> HYPERLINK "http://baike.baidu.com/view/436017.htm" \t "_blank" </w:instrText>
            </w:r>
            <w:r>
              <w:rPr>
                <w:rFonts w:hint="eastAsia" w:ascii="仿宋" w:hAnsi="仿宋" w:eastAsia="仿宋" w:cs="仿宋"/>
                <w:b w:val="0"/>
                <w:bCs/>
                <w:sz w:val="30"/>
                <w:szCs w:val="30"/>
                <w:u w:val="none"/>
              </w:rPr>
              <w:fldChar w:fldCharType="separate"/>
            </w:r>
            <w:r>
              <w:rPr>
                <w:rFonts w:hint="eastAsia" w:ascii="仿宋" w:hAnsi="仿宋" w:eastAsia="仿宋" w:cs="仿宋"/>
                <w:b w:val="0"/>
                <w:bCs/>
                <w:sz w:val="30"/>
                <w:szCs w:val="30"/>
                <w:u w:val="none"/>
              </w:rPr>
              <w:t>建设工程质量管理条例</w:t>
            </w:r>
            <w:r>
              <w:rPr>
                <w:rFonts w:hint="eastAsia" w:ascii="仿宋" w:hAnsi="仿宋" w:eastAsia="仿宋" w:cs="仿宋"/>
                <w:b w:val="0"/>
                <w:bCs/>
                <w:sz w:val="30"/>
                <w:szCs w:val="30"/>
                <w:u w:val="none"/>
              </w:rPr>
              <w:fldChar w:fldCharType="end"/>
            </w:r>
            <w:r>
              <w:rPr>
                <w:rFonts w:hint="eastAsia" w:ascii="仿宋" w:hAnsi="仿宋" w:eastAsia="仿宋" w:cs="仿宋"/>
                <w:b w:val="0"/>
                <w:bCs/>
                <w:sz w:val="30"/>
                <w:szCs w:val="30"/>
                <w:u w:val="none"/>
              </w:rPr>
              <w:t>》、《建设工程质量检测管理办法》、《房屋建筑工程和市政基础设施工程实行见证取样和送检的规定》等</w:t>
            </w:r>
            <w:r>
              <w:rPr>
                <w:rFonts w:hint="eastAsia" w:ascii="仿宋" w:hAnsi="仿宋" w:eastAsia="仿宋" w:cs="仿宋"/>
                <w:b w:val="0"/>
                <w:bCs/>
                <w:sz w:val="30"/>
                <w:szCs w:val="30"/>
                <w:u w:val="none"/>
                <w:lang w:eastAsia="zh-CN"/>
              </w:rPr>
              <w:t>相关规定。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7</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工期要求</w:t>
            </w:r>
          </w:p>
        </w:tc>
        <w:tc>
          <w:tcPr>
            <w:tcW w:w="7020" w:type="dxa"/>
            <w:vAlign w:val="center"/>
          </w:tcPr>
          <w:p>
            <w:pPr>
              <w:jc w:val="center"/>
              <w:rPr>
                <w:rFonts w:hint="default" w:ascii="仿宋" w:hAnsi="仿宋" w:eastAsia="仿宋" w:cs="仿宋"/>
                <w:b/>
                <w:bCs/>
                <w:sz w:val="30"/>
                <w:szCs w:val="30"/>
                <w:vertAlign w:val="baseline"/>
                <w:lang w:val="en-US" w:eastAsia="zh-CN"/>
              </w:rPr>
            </w:pPr>
            <w:r>
              <w:rPr>
                <w:rFonts w:hint="eastAsia" w:ascii="仿宋" w:hAnsi="仿宋" w:eastAsia="仿宋" w:cs="仿宋"/>
                <w:b w:val="0"/>
                <w:bCs w:val="0"/>
                <w:sz w:val="30"/>
                <w:szCs w:val="30"/>
                <w:vertAlign w:val="baseline"/>
                <w:lang w:val="en-US" w:eastAsia="zh-CN"/>
              </w:rPr>
              <w:t>总工期20天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8</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报名时间</w:t>
            </w:r>
          </w:p>
        </w:tc>
        <w:tc>
          <w:tcPr>
            <w:tcW w:w="7020" w:type="dxa"/>
            <w:vAlign w:val="center"/>
          </w:tcPr>
          <w:p>
            <w:pPr>
              <w:jc w:val="center"/>
              <w:rPr>
                <w:rFonts w:hint="eastAsia" w:ascii="仿宋" w:hAnsi="仿宋" w:eastAsia="仿宋" w:cs="仿宋"/>
                <w:b w:val="0"/>
                <w:bCs w:val="0"/>
                <w:color w:val="FF0000"/>
                <w:sz w:val="30"/>
                <w:szCs w:val="30"/>
                <w:vertAlign w:val="baseline"/>
                <w:lang w:val="en-US" w:eastAsia="zh-CN"/>
              </w:rPr>
            </w:pPr>
            <w:r>
              <w:rPr>
                <w:rFonts w:hint="eastAsia" w:ascii="仿宋" w:hAnsi="仿宋" w:eastAsia="仿宋" w:cs="仿宋"/>
                <w:b w:val="0"/>
                <w:bCs w:val="0"/>
                <w:color w:val="000000"/>
                <w:sz w:val="30"/>
                <w:szCs w:val="30"/>
                <w:vertAlign w:val="baseline"/>
                <w:lang w:val="en-US" w:eastAsia="zh-CN"/>
              </w:rPr>
              <w:t>2023年4月25日至2023年4月28</w:t>
            </w:r>
            <w:bookmarkStart w:id="2" w:name="_GoBack"/>
            <w:bookmarkEnd w:id="2"/>
            <w:r>
              <w:rPr>
                <w:rFonts w:hint="eastAsia" w:ascii="仿宋" w:hAnsi="仿宋" w:eastAsia="仿宋" w:cs="仿宋"/>
                <w:b w:val="0"/>
                <w:bCs w:val="0"/>
                <w:color w:val="000000"/>
                <w:sz w:val="30"/>
                <w:szCs w:val="30"/>
                <w:vertAlign w:val="baseline"/>
                <w:lang w:val="en-US" w:eastAsia="zh-CN"/>
              </w:rPr>
              <w:t>日下午3点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9" w:hRule="atLeast"/>
        </w:trPr>
        <w:tc>
          <w:tcPr>
            <w:tcW w:w="946" w:type="dxa"/>
            <w:vAlign w:val="center"/>
          </w:tcPr>
          <w:p>
            <w:pPr>
              <w:spacing w:line="480" w:lineRule="auto"/>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9</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付款方式</w:t>
            </w:r>
          </w:p>
        </w:tc>
        <w:tc>
          <w:tcPr>
            <w:tcW w:w="7020" w:type="dxa"/>
            <w:vAlign w:val="center"/>
          </w:tcPr>
          <w:p>
            <w:pPr>
              <w:jc w:val="both"/>
              <w:rPr>
                <w:rFonts w:hint="default"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完成</w:t>
            </w:r>
            <w:r>
              <w:rPr>
                <w:rFonts w:hint="eastAsia" w:ascii="仿宋" w:hAnsi="仿宋" w:eastAsia="仿宋" w:cs="仿宋"/>
                <w:b w:val="0"/>
                <w:bCs/>
                <w:color w:val="000000"/>
                <w:sz w:val="30"/>
                <w:szCs w:val="30"/>
                <w:lang w:eastAsia="zh-CN"/>
              </w:rPr>
              <w:t>项目主体检测并出具检测报告</w:t>
            </w:r>
            <w:r>
              <w:rPr>
                <w:rFonts w:hint="eastAsia" w:ascii="仿宋" w:hAnsi="仿宋" w:eastAsia="仿宋" w:cs="仿宋"/>
                <w:b w:val="0"/>
                <w:bCs w:val="0"/>
                <w:sz w:val="30"/>
                <w:szCs w:val="30"/>
                <w:vertAlign w:val="baseline"/>
                <w:lang w:val="en-US" w:eastAsia="zh-CN"/>
              </w:rPr>
              <w:t>后支付。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10</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计价方式</w:t>
            </w:r>
          </w:p>
        </w:tc>
        <w:tc>
          <w:tcPr>
            <w:tcW w:w="7020"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color w:val="000000"/>
                <w:sz w:val="30"/>
                <w:szCs w:val="30"/>
                <w:vertAlign w:val="baseline"/>
                <w:lang w:val="en-US" w:eastAsia="zh-CN"/>
              </w:rPr>
              <w:t>固定单价包干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946" w:type="dxa"/>
            <w:vAlign w:val="center"/>
          </w:tcPr>
          <w:p>
            <w:pPr>
              <w:jc w:val="center"/>
              <w:rPr>
                <w:rFonts w:hint="default"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11</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联系人及投标地点</w:t>
            </w:r>
          </w:p>
        </w:tc>
        <w:tc>
          <w:tcPr>
            <w:tcW w:w="7020" w:type="dxa"/>
            <w:vAlign w:val="center"/>
          </w:tcPr>
          <w:p>
            <w:pPr>
              <w:jc w:val="both"/>
              <w:rPr>
                <w:rFonts w:hint="default"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招标联系人：钟鹏  15070707530 投标地点：会昌县商会大厦十楼工程部。</w:t>
            </w:r>
          </w:p>
          <w:p>
            <w:pPr>
              <w:jc w:val="both"/>
              <w:rPr>
                <w:rFonts w:hint="default"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需要相关材料及勘察项目现场的请联系招标联系人，并在报名有效期内提交报价材料。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9" w:hRule="atLeast"/>
        </w:trPr>
        <w:tc>
          <w:tcPr>
            <w:tcW w:w="946" w:type="dxa"/>
            <w:vAlign w:val="center"/>
          </w:tcPr>
          <w:p>
            <w:pPr>
              <w:jc w:val="center"/>
              <w:rPr>
                <w:rFonts w:hint="eastAsia" w:ascii="仿宋" w:hAnsi="仿宋" w:eastAsia="仿宋" w:cs="仿宋"/>
                <w:b/>
                <w:bCs/>
                <w:kern w:val="2"/>
                <w:sz w:val="30"/>
                <w:szCs w:val="30"/>
                <w:vertAlign w:val="baseline"/>
                <w:lang w:val="en-US" w:eastAsia="zh-CN" w:bidi="ar-SA"/>
              </w:rPr>
            </w:pPr>
            <w:r>
              <w:rPr>
                <w:rFonts w:hint="eastAsia" w:ascii="仿宋" w:hAnsi="仿宋" w:eastAsia="仿宋" w:cs="仿宋"/>
                <w:b/>
                <w:bCs/>
                <w:sz w:val="30"/>
                <w:szCs w:val="30"/>
                <w:vertAlign w:val="baseline"/>
                <w:lang w:val="en-US" w:eastAsia="zh-CN"/>
              </w:rPr>
              <w:t>12</w:t>
            </w:r>
          </w:p>
        </w:tc>
        <w:tc>
          <w:tcPr>
            <w:tcW w:w="1629" w:type="dxa"/>
            <w:vAlign w:val="center"/>
          </w:tcPr>
          <w:p>
            <w:pPr>
              <w:jc w:val="center"/>
              <w:rPr>
                <w:rFonts w:hint="eastAsia" w:ascii="仿宋" w:hAnsi="仿宋" w:eastAsia="仿宋" w:cs="仿宋"/>
                <w:b w:val="0"/>
                <w:bCs w:val="0"/>
                <w:kern w:val="2"/>
                <w:sz w:val="30"/>
                <w:szCs w:val="30"/>
                <w:vertAlign w:val="baseline"/>
                <w:lang w:val="en-US" w:eastAsia="zh-CN" w:bidi="ar-SA"/>
              </w:rPr>
            </w:pPr>
            <w:r>
              <w:rPr>
                <w:rFonts w:hint="eastAsia" w:ascii="仿宋" w:hAnsi="仿宋" w:eastAsia="仿宋" w:cs="仿宋"/>
                <w:b w:val="0"/>
                <w:bCs w:val="0"/>
                <w:sz w:val="30"/>
                <w:szCs w:val="30"/>
                <w:vertAlign w:val="baseline"/>
                <w:lang w:val="en-US" w:eastAsia="zh-CN"/>
              </w:rPr>
              <w:t>开标时间地点及举报电话</w:t>
            </w:r>
          </w:p>
        </w:tc>
        <w:tc>
          <w:tcPr>
            <w:tcW w:w="7020" w:type="dxa"/>
            <w:vAlign w:val="center"/>
          </w:tcPr>
          <w:p>
            <w:pPr>
              <w:jc w:val="both"/>
              <w:rPr>
                <w:rFonts w:hint="eastAsia" w:ascii="仿宋" w:hAnsi="仿宋" w:eastAsia="仿宋" w:cs="仿宋"/>
                <w:b w:val="0"/>
                <w:bCs w:val="0"/>
                <w:color w:val="000000"/>
                <w:sz w:val="30"/>
                <w:szCs w:val="30"/>
                <w:vertAlign w:val="baseline"/>
                <w:lang w:val="en-US" w:eastAsia="zh-CN"/>
              </w:rPr>
            </w:pPr>
            <w:r>
              <w:rPr>
                <w:rFonts w:hint="eastAsia" w:ascii="仿宋" w:hAnsi="仿宋" w:eastAsia="仿宋" w:cs="仿宋"/>
                <w:b w:val="0"/>
                <w:bCs w:val="0"/>
                <w:color w:val="000000"/>
                <w:sz w:val="30"/>
                <w:szCs w:val="30"/>
                <w:vertAlign w:val="baseline"/>
                <w:lang w:val="en-US" w:eastAsia="zh-CN"/>
              </w:rPr>
              <w:t>开标时间为：2023年4月28日下午3:00，集团询价小组进行现场拆封各投标人报价文件，审核各投标人资质，按低价原则确定服务机构。</w:t>
            </w:r>
          </w:p>
          <w:p>
            <w:pPr>
              <w:jc w:val="both"/>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地点：会昌县商会大厦十楼会议室</w:t>
            </w:r>
          </w:p>
          <w:p>
            <w:pPr>
              <w:jc w:val="center"/>
              <w:rPr>
                <w:rFonts w:hint="eastAsia" w:ascii="仿宋" w:hAnsi="仿宋" w:eastAsia="仿宋" w:cs="仿宋"/>
                <w:b w:val="0"/>
                <w:bCs w:val="0"/>
                <w:kern w:val="2"/>
                <w:sz w:val="30"/>
                <w:szCs w:val="30"/>
                <w:vertAlign w:val="baseline"/>
                <w:lang w:val="en-US" w:eastAsia="zh-CN" w:bidi="ar-SA"/>
              </w:rPr>
            </w:pPr>
            <w:r>
              <w:rPr>
                <w:rFonts w:hint="eastAsia" w:ascii="仿宋" w:hAnsi="仿宋" w:eastAsia="仿宋" w:cs="仿宋"/>
                <w:b w:val="0"/>
                <w:bCs w:val="0"/>
                <w:sz w:val="30"/>
                <w:szCs w:val="30"/>
                <w:vertAlign w:val="baseline"/>
                <w:lang w:val="en-US" w:eastAsia="zh-CN"/>
              </w:rPr>
              <w:t>监督举报电话（县纪委派驻第十纪检监察组）：0797-5623881</w:t>
            </w:r>
          </w:p>
        </w:tc>
      </w:tr>
    </w:tbl>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二、报价要求及中标原则</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3" w:firstLineChars="200"/>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1、投标要求</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1.1、投标价格为固定总价，投标单位报价后我公司即视为报价方在报价前已充分进行了现场踏勘、测量、风险评估及工期提前等所有风险。任何要求</w:t>
      </w:r>
      <w:bookmarkStart w:id="0" w:name="_Hlk529951313"/>
      <w:r>
        <w:rPr>
          <w:rFonts w:hint="eastAsia" w:ascii="仿宋_GB2312" w:hAnsi="仿宋_GB2312" w:eastAsia="仿宋_GB2312" w:cs="仿宋_GB2312"/>
          <w:b w:val="0"/>
          <w:bCs w:val="0"/>
          <w:sz w:val="32"/>
          <w:szCs w:val="32"/>
          <w:lang w:val="en-US" w:eastAsia="zh-CN"/>
        </w:rPr>
        <w:t>增减、变更</w:t>
      </w:r>
      <w:bookmarkEnd w:id="0"/>
      <w:r>
        <w:rPr>
          <w:rFonts w:hint="eastAsia" w:ascii="仿宋_GB2312" w:hAnsi="仿宋_GB2312" w:eastAsia="仿宋_GB2312" w:cs="仿宋_GB2312"/>
          <w:b w:val="0"/>
          <w:bCs w:val="0"/>
          <w:sz w:val="32"/>
          <w:szCs w:val="32"/>
          <w:lang w:val="en-US" w:eastAsia="zh-CN"/>
        </w:rPr>
        <w:t>单价的，将不予认可。除非出现工程新增项目且未确定单价时，双方可协商调整。增加的工程量按双方协商的费用进行结算，增减、变更必须双方另行书面签订协议并加盖公章，否则不予认可。</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1.2、报价文件由报价表（参照附件格式）、法人身份证复印件、公司营业执照复印件、资质证书复印件、开户许可证复印件、委托书及被委托人身份证复印件，复印件均需加盖公章，所有材料必须进行封装并加盖公章，否则无效。</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1.3、提供虚假资料的取消其投标及中标资格，开标时不足3家投标单位按流标处理。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1.4</w:t>
      </w:r>
      <w:bookmarkStart w:id="1" w:name="_Toc46481525"/>
      <w:r>
        <w:rPr>
          <w:rFonts w:hint="eastAsia" w:ascii="仿宋_GB2312" w:hAnsi="仿宋_GB2312" w:eastAsia="仿宋_GB2312" w:cs="仿宋_GB2312"/>
          <w:b w:val="0"/>
          <w:bCs w:val="0"/>
          <w:sz w:val="32"/>
          <w:szCs w:val="32"/>
          <w:lang w:val="en-US" w:eastAsia="zh-CN"/>
        </w:rPr>
        <w:t>、申请公司的资格要求</w:t>
      </w:r>
      <w:bookmarkEnd w:id="1"/>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1）具有独立承担民事责任的能力；</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2）具有良好的商业信誉和健全的财务会计制度；</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3）具有履行合同所必需的设备和专业技术能力；</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4）有依法缴纳税收和社会保障资金的良好记录；</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5）参加</w:t>
      </w:r>
      <w:r>
        <w:rPr>
          <w:rFonts w:hint="eastAsia" w:ascii="仿宋" w:hAnsi="仿宋" w:eastAsia="仿宋" w:cs="仿宋"/>
          <w:b w:val="0"/>
          <w:bCs/>
          <w:color w:val="000000"/>
          <w:sz w:val="32"/>
          <w:szCs w:val="32"/>
          <w:lang w:eastAsia="zh-CN"/>
        </w:rPr>
        <w:t>工程主体检测</w:t>
      </w:r>
      <w:r>
        <w:rPr>
          <w:rFonts w:hint="eastAsia" w:ascii="仿宋_GB2312" w:hAnsi="仿宋_GB2312" w:eastAsia="仿宋_GB2312" w:cs="仿宋_GB2312"/>
          <w:b w:val="0"/>
          <w:bCs w:val="0"/>
          <w:sz w:val="32"/>
          <w:szCs w:val="32"/>
          <w:lang w:val="en-US" w:eastAsia="zh-CN"/>
        </w:rPr>
        <w:t>活动前三年内，在经营活动中没有重大违法记录。</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1.5、本项目的特定资格要求：</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1）需要具备</w:t>
      </w:r>
      <w:r>
        <w:rPr>
          <w:rFonts w:hint="eastAsia" w:ascii="仿宋" w:hAnsi="仿宋" w:eastAsia="仿宋" w:cs="仿宋"/>
          <w:b w:val="0"/>
          <w:bCs/>
          <w:color w:val="000000"/>
          <w:sz w:val="32"/>
          <w:szCs w:val="32"/>
          <w:lang w:eastAsia="zh-CN"/>
        </w:rPr>
        <w:t>工程主体检测</w:t>
      </w:r>
      <w:r>
        <w:rPr>
          <w:rFonts w:hint="eastAsia" w:ascii="仿宋_GB2312" w:hAnsi="仿宋_GB2312" w:eastAsia="仿宋_GB2312" w:cs="仿宋_GB2312"/>
          <w:b w:val="0"/>
          <w:bCs w:val="0"/>
          <w:sz w:val="32"/>
          <w:szCs w:val="32"/>
          <w:lang w:val="en-US" w:eastAsia="zh-CN"/>
        </w:rPr>
        <w:t>相关资质的单位。</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2）提供在“国家企业信用信息公示系统”查询记录</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3）提供公司主要管理及其直系亲属未在会昌县恒茂建设发展集团有限责任公司从业的承诺书。</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1.6、中标公示3天后3天内签订合同，签订合同后要在3天日内开展工作。</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default" w:ascii="仿宋_GB2312" w:hAnsi="仿宋_GB2312" w:eastAsia="仿宋_GB2312" w:cs="仿宋_GB2312"/>
          <w:b w:val="0"/>
          <w:bCs w:val="0"/>
          <w:sz w:val="32"/>
          <w:szCs w:val="32"/>
          <w:lang w:val="en-US" w:eastAsia="zh-CN"/>
        </w:rPr>
      </w:pP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3、中标原则：</w:t>
      </w:r>
    </w:p>
    <w:p>
      <w:pPr>
        <w:numPr>
          <w:ilvl w:val="0"/>
          <w:numId w:val="0"/>
        </w:numPr>
        <w:ind w:firstLine="640" w:firstLineChars="200"/>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符合报价文件且在同等条件下以报价最优惠的单位为中标单位。</w:t>
      </w:r>
    </w:p>
    <w:p>
      <w:pPr>
        <w:numPr>
          <w:ilvl w:val="0"/>
          <w:numId w:val="1"/>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承包内容：</w:t>
      </w:r>
    </w:p>
    <w:p>
      <w:pPr>
        <w:numPr>
          <w:ilvl w:val="0"/>
          <w:numId w:val="0"/>
        </w:numPr>
        <w:ind w:firstLine="640" w:firstLineChars="200"/>
        <w:jc w:val="left"/>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开展项目的</w:t>
      </w:r>
      <w:r>
        <w:rPr>
          <w:rFonts w:hint="eastAsia" w:ascii="仿宋" w:hAnsi="仿宋" w:eastAsia="仿宋" w:cs="仿宋"/>
          <w:b w:val="0"/>
          <w:bCs/>
          <w:color w:val="000000"/>
          <w:sz w:val="32"/>
          <w:szCs w:val="32"/>
          <w:lang w:eastAsia="zh-CN"/>
        </w:rPr>
        <w:t>主体检测并出具检测报告</w:t>
      </w:r>
      <w:r>
        <w:rPr>
          <w:rFonts w:hint="eastAsia" w:ascii="仿宋" w:hAnsi="仿宋" w:eastAsia="仿宋" w:cs="仿宋"/>
          <w:b w:val="0"/>
          <w:bCs w:val="0"/>
          <w:sz w:val="32"/>
          <w:szCs w:val="32"/>
          <w:vertAlign w:val="baseline"/>
          <w:lang w:val="en-US" w:eastAsia="zh-CN"/>
        </w:rPr>
        <w:t>。</w:t>
      </w:r>
    </w:p>
    <w:p>
      <w:pPr>
        <w:numPr>
          <w:ilvl w:val="0"/>
          <w:numId w:val="0"/>
        </w:numPr>
        <w:jc w:val="left"/>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三、投标文件递交</w:t>
      </w:r>
    </w:p>
    <w:p>
      <w:pPr>
        <w:numPr>
          <w:ilvl w:val="0"/>
          <w:numId w:val="0"/>
        </w:num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1、投标人应将投标文件密封加盖章。</w:t>
      </w:r>
    </w:p>
    <w:p>
      <w:pPr>
        <w:numPr>
          <w:ilvl w:val="0"/>
          <w:numId w:val="0"/>
        </w:num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2、封装袋上可写明投标人名称和联系方式。</w:t>
      </w:r>
    </w:p>
    <w:p>
      <w:pPr>
        <w:numPr>
          <w:ilvl w:val="0"/>
          <w:numId w:val="0"/>
        </w:numPr>
        <w:ind w:firstLine="640" w:firstLineChars="200"/>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3、投标人应在规定时间前将投标文件递交到指定地点。</w:t>
      </w: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四、项目概况</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w:t>
      </w:r>
      <w:r>
        <w:rPr>
          <w:rFonts w:hint="eastAsia" w:ascii="仿宋" w:hAnsi="仿宋" w:eastAsia="仿宋" w:cs="仿宋"/>
          <w:b w:val="0"/>
          <w:bCs/>
          <w:sz w:val="30"/>
          <w:szCs w:val="30"/>
          <w:u w:val="none"/>
        </w:rPr>
        <w:t>会昌县公立托育机构建设项目</w:t>
      </w:r>
      <w:r>
        <w:rPr>
          <w:rFonts w:hint="eastAsia" w:ascii="仿宋_GB2312" w:hAnsi="仿宋_GB2312" w:eastAsia="仿宋_GB2312" w:cs="仿宋_GB2312"/>
          <w:b w:val="0"/>
          <w:bCs w:val="0"/>
          <w:sz w:val="32"/>
          <w:szCs w:val="32"/>
          <w:lang w:val="en-US" w:eastAsia="zh-CN"/>
        </w:rPr>
        <w:t>：项目位于会昌县教育大道北侧，总建筑面积约4900平方米。</w:t>
      </w:r>
    </w:p>
    <w:p>
      <w:pPr>
        <w:numPr>
          <w:ilvl w:val="0"/>
          <w:numId w:val="0"/>
        </w:numPr>
        <w:ind w:firstLine="640" w:firstLineChars="200"/>
        <w:jc w:val="left"/>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w:t>
      </w:r>
      <w:r>
        <w:rPr>
          <w:rFonts w:hint="eastAsia" w:ascii="仿宋" w:hAnsi="仿宋" w:eastAsia="仿宋" w:cs="仿宋"/>
          <w:b w:val="0"/>
          <w:bCs/>
          <w:sz w:val="30"/>
          <w:szCs w:val="30"/>
          <w:u w:val="none"/>
        </w:rPr>
        <w:t>会昌县消防训练基地（九州大道特勤消防救援站）建设项目</w:t>
      </w:r>
      <w:r>
        <w:rPr>
          <w:rFonts w:hint="eastAsia" w:ascii="仿宋" w:hAnsi="仿宋" w:eastAsia="仿宋" w:cs="仿宋"/>
          <w:b w:val="0"/>
          <w:bCs/>
          <w:sz w:val="30"/>
          <w:szCs w:val="30"/>
          <w:u w:val="none"/>
          <w:lang w:eastAsia="zh-CN"/>
        </w:rPr>
        <w:t>：项目位于九州工业园，总</w:t>
      </w:r>
      <w:r>
        <w:rPr>
          <w:rFonts w:hint="eastAsia" w:ascii="仿宋_GB2312" w:hAnsi="仿宋_GB2312" w:eastAsia="仿宋_GB2312" w:cs="仿宋_GB2312"/>
          <w:b w:val="0"/>
          <w:bCs w:val="0"/>
          <w:sz w:val="32"/>
          <w:szCs w:val="32"/>
          <w:lang w:val="en-US" w:eastAsia="zh-CN"/>
        </w:rPr>
        <w:t>建筑面积约6000㎡。</w:t>
      </w:r>
    </w:p>
    <w:p>
      <w:pPr>
        <w:numPr>
          <w:ilvl w:val="0"/>
          <w:numId w:val="0"/>
        </w:numPr>
        <w:jc w:val="left"/>
        <w:rPr>
          <w:rFonts w:hint="eastAsia" w:ascii="仿宋_GB2312" w:hAnsi="仿宋_GB2312" w:eastAsia="仿宋_GB2312" w:cs="仿宋_GB2312"/>
          <w:b w:val="0"/>
          <w:bCs w:val="0"/>
          <w:sz w:val="32"/>
          <w:szCs w:val="32"/>
          <w:lang w:val="en-US" w:eastAsia="zh-CN"/>
        </w:rPr>
      </w:pPr>
    </w:p>
    <w:p>
      <w:pPr>
        <w:numPr>
          <w:ilvl w:val="0"/>
          <w:numId w:val="2"/>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招标控制价</w:t>
      </w:r>
    </w:p>
    <w:p>
      <w:pPr>
        <w:numPr>
          <w:ilvl w:val="0"/>
          <w:numId w:val="0"/>
        </w:numPr>
        <w:jc w:val="left"/>
        <w:rPr>
          <w:rFonts w:hint="eastAsia" w:ascii="仿宋_GB2312" w:hAnsi="仿宋_GB2312" w:eastAsia="仿宋_GB2312" w:cs="仿宋_GB2312"/>
          <w:b/>
          <w:bCs/>
          <w:sz w:val="32"/>
          <w:szCs w:val="32"/>
          <w:lang w:val="en-US" w:eastAsia="zh-CN"/>
        </w:rPr>
      </w:pPr>
    </w:p>
    <w:p>
      <w:pPr>
        <w:numPr>
          <w:ilvl w:val="0"/>
          <w:numId w:val="0"/>
        </w:numPr>
        <w:jc w:val="center"/>
        <w:rPr>
          <w:rFonts w:hint="eastAsia"/>
          <w:lang w:val="en-US" w:eastAsia="zh-CN"/>
        </w:rPr>
      </w:pPr>
      <w:r>
        <w:rPr>
          <w:rFonts w:hint="eastAsia" w:ascii="宋体" w:hAnsi="宋体" w:cs="宋体"/>
          <w:b/>
          <w:bCs w:val="0"/>
          <w:color w:val="000000"/>
          <w:kern w:val="0"/>
          <w:sz w:val="36"/>
          <w:szCs w:val="36"/>
          <w:lang w:val="en-US" w:eastAsia="zh-CN"/>
        </w:rPr>
        <w:t>控制价</w:t>
      </w:r>
    </w:p>
    <w:tbl>
      <w:tblPr>
        <w:tblStyle w:val="7"/>
        <w:tblpPr w:leftFromText="180" w:rightFromText="180" w:vertAnchor="text" w:horzAnchor="page" w:tblpX="1975" w:tblpY="21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12"/>
        <w:gridCol w:w="1483"/>
        <w:gridCol w:w="1617"/>
        <w:gridCol w:w="2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12" w:type="dxa"/>
            <w:vAlign w:val="center"/>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项目名称</w:t>
            </w:r>
          </w:p>
        </w:tc>
        <w:tc>
          <w:tcPr>
            <w:tcW w:w="1483" w:type="dxa"/>
            <w:vAlign w:val="center"/>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控制价</w:t>
            </w:r>
          </w:p>
        </w:tc>
        <w:tc>
          <w:tcPr>
            <w:tcW w:w="1617" w:type="dxa"/>
            <w:vAlign w:val="center"/>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单位</w:t>
            </w:r>
          </w:p>
        </w:tc>
        <w:tc>
          <w:tcPr>
            <w:tcW w:w="2084" w:type="dxa"/>
            <w:vAlign w:val="center"/>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2812" w:type="dxa"/>
            <w:vAlign w:val="center"/>
          </w:tcPr>
          <w:p>
            <w:pPr>
              <w:pStyle w:val="4"/>
              <w:ind w:left="0" w:leftChars="0" w:firstLine="0" w:firstLineChars="0"/>
              <w:jc w:val="center"/>
              <w:rPr>
                <w:rFonts w:hint="eastAsia" w:ascii="仿宋" w:hAnsi="仿宋" w:eastAsia="仿宋" w:cs="仿宋"/>
                <w:sz w:val="28"/>
                <w:szCs w:val="28"/>
                <w:vertAlign w:val="baseline"/>
                <w:lang w:eastAsia="zh-CN"/>
              </w:rPr>
            </w:pPr>
            <w:r>
              <w:rPr>
                <w:rFonts w:hint="eastAsia" w:ascii="仿宋" w:hAnsi="仿宋" w:eastAsia="仿宋" w:cs="仿宋"/>
                <w:b w:val="0"/>
                <w:bCs/>
                <w:sz w:val="30"/>
                <w:szCs w:val="30"/>
                <w:u w:val="none"/>
              </w:rPr>
              <w:t>会昌县公立托育机构建设项目</w:t>
            </w:r>
          </w:p>
        </w:tc>
        <w:tc>
          <w:tcPr>
            <w:tcW w:w="1483" w:type="dxa"/>
            <w:vAlign w:val="center"/>
          </w:tcPr>
          <w:p>
            <w:pPr>
              <w:pStyle w:val="4"/>
              <w:ind w:left="0" w:leftChars="0" w:firstLine="0" w:firstLineChars="0"/>
              <w:jc w:val="center"/>
              <w:rPr>
                <w:rFonts w:hint="default" w:ascii="仿宋" w:hAnsi="仿宋" w:eastAsia="仿宋" w:cs="仿宋"/>
                <w:color w:val="FF0000"/>
                <w:sz w:val="28"/>
                <w:szCs w:val="28"/>
                <w:vertAlign w:val="baseline"/>
                <w:lang w:val="en-US" w:eastAsia="zh-CN"/>
              </w:rPr>
            </w:pPr>
            <w:r>
              <w:rPr>
                <w:rFonts w:hint="eastAsia" w:ascii="仿宋" w:hAnsi="仿宋" w:eastAsia="仿宋" w:cs="仿宋"/>
                <w:color w:val="000000"/>
                <w:sz w:val="28"/>
                <w:szCs w:val="28"/>
                <w:vertAlign w:val="baseline"/>
                <w:lang w:val="en-US" w:eastAsia="zh-CN"/>
              </w:rPr>
              <w:t>1元/</w:t>
            </w:r>
            <w:r>
              <w:rPr>
                <w:rFonts w:hint="eastAsia" w:ascii="仿宋_GB2312" w:hAnsi="仿宋_GB2312" w:eastAsia="仿宋_GB2312" w:cs="仿宋_GB2312"/>
                <w:b w:val="0"/>
                <w:bCs w:val="0"/>
                <w:sz w:val="32"/>
                <w:szCs w:val="32"/>
                <w:lang w:val="en-US" w:eastAsia="zh-CN"/>
              </w:rPr>
              <w:t>㎡</w:t>
            </w:r>
          </w:p>
        </w:tc>
        <w:tc>
          <w:tcPr>
            <w:tcW w:w="1617" w:type="dxa"/>
            <w:vAlign w:val="center"/>
          </w:tcPr>
          <w:p>
            <w:pPr>
              <w:pStyle w:val="4"/>
              <w:ind w:left="0" w:leftChars="0" w:firstLine="0" w:firstLineChars="0"/>
              <w:jc w:val="center"/>
              <w:rPr>
                <w:rFonts w:hint="eastAsia" w:ascii="仿宋" w:hAnsi="仿宋" w:eastAsia="仿宋" w:cs="仿宋"/>
                <w:sz w:val="28"/>
                <w:szCs w:val="28"/>
                <w:vertAlign w:val="baseline"/>
                <w:lang w:eastAsia="zh-CN"/>
              </w:rPr>
            </w:pPr>
            <w:r>
              <w:rPr>
                <w:rFonts w:hint="eastAsia" w:ascii="仿宋" w:hAnsi="仿宋" w:eastAsia="仿宋" w:cs="仿宋"/>
                <w:color w:val="000000"/>
                <w:sz w:val="28"/>
                <w:szCs w:val="28"/>
                <w:vertAlign w:val="baseline"/>
                <w:lang w:val="en-US" w:eastAsia="zh-CN"/>
              </w:rPr>
              <w:t>元/</w:t>
            </w:r>
            <w:r>
              <w:rPr>
                <w:rFonts w:hint="eastAsia" w:ascii="仿宋_GB2312" w:hAnsi="仿宋_GB2312" w:eastAsia="仿宋_GB2312" w:cs="仿宋_GB2312"/>
                <w:b w:val="0"/>
                <w:bCs w:val="0"/>
                <w:sz w:val="32"/>
                <w:szCs w:val="32"/>
                <w:lang w:val="en-US" w:eastAsia="zh-CN"/>
              </w:rPr>
              <w:t>㎡</w:t>
            </w:r>
          </w:p>
        </w:tc>
        <w:tc>
          <w:tcPr>
            <w:tcW w:w="2084" w:type="dxa"/>
            <w:vAlign w:val="center"/>
          </w:tcPr>
          <w:p>
            <w:pPr>
              <w:pStyle w:val="4"/>
              <w:ind w:left="0" w:leftChars="0" w:firstLine="0" w:firstLineChars="0"/>
              <w:jc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最高投标限价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2812" w:type="dxa"/>
            <w:vAlign w:val="center"/>
          </w:tcPr>
          <w:p>
            <w:pPr>
              <w:pStyle w:val="4"/>
              <w:ind w:left="0" w:leftChars="0" w:firstLine="0" w:firstLineChars="0"/>
              <w:jc w:val="center"/>
              <w:rPr>
                <w:rFonts w:hint="eastAsia" w:ascii="仿宋" w:hAnsi="仿宋" w:eastAsia="仿宋" w:cs="仿宋"/>
                <w:sz w:val="28"/>
                <w:szCs w:val="28"/>
                <w:vertAlign w:val="baseline"/>
                <w:lang w:val="en-US" w:eastAsia="zh-CN"/>
              </w:rPr>
            </w:pPr>
            <w:r>
              <w:rPr>
                <w:rFonts w:hint="eastAsia" w:ascii="仿宋" w:hAnsi="仿宋" w:eastAsia="仿宋" w:cs="仿宋"/>
                <w:b w:val="0"/>
                <w:bCs/>
                <w:sz w:val="30"/>
                <w:szCs w:val="30"/>
                <w:u w:val="none"/>
              </w:rPr>
              <w:t>会昌县消防训练基地（九州大道特勤消防救援站）建设项目</w:t>
            </w:r>
          </w:p>
        </w:tc>
        <w:tc>
          <w:tcPr>
            <w:tcW w:w="1483" w:type="dxa"/>
            <w:vAlign w:val="center"/>
          </w:tcPr>
          <w:p>
            <w:pPr>
              <w:pStyle w:val="4"/>
              <w:ind w:left="0" w:leftChars="0" w:firstLine="0" w:firstLineChars="0"/>
              <w:jc w:val="center"/>
              <w:rPr>
                <w:rFonts w:hint="default" w:ascii="仿宋" w:hAnsi="仿宋" w:eastAsia="仿宋" w:cs="仿宋"/>
                <w:color w:val="000000"/>
                <w:sz w:val="28"/>
                <w:szCs w:val="28"/>
                <w:vertAlign w:val="baseline"/>
                <w:lang w:val="en-US" w:eastAsia="zh-CN"/>
              </w:rPr>
            </w:pPr>
            <w:r>
              <w:rPr>
                <w:rFonts w:hint="eastAsia" w:ascii="仿宋" w:hAnsi="仿宋" w:eastAsia="仿宋" w:cs="仿宋"/>
                <w:color w:val="000000"/>
                <w:sz w:val="28"/>
                <w:szCs w:val="28"/>
                <w:vertAlign w:val="baseline"/>
                <w:lang w:val="en-US" w:eastAsia="zh-CN"/>
              </w:rPr>
              <w:t>1元/</w:t>
            </w:r>
            <w:r>
              <w:rPr>
                <w:rFonts w:hint="eastAsia" w:ascii="仿宋_GB2312" w:hAnsi="仿宋_GB2312" w:eastAsia="仿宋_GB2312" w:cs="仿宋_GB2312"/>
                <w:b w:val="0"/>
                <w:bCs w:val="0"/>
                <w:sz w:val="32"/>
                <w:szCs w:val="32"/>
                <w:lang w:val="en-US" w:eastAsia="zh-CN"/>
              </w:rPr>
              <w:t>㎡</w:t>
            </w:r>
          </w:p>
        </w:tc>
        <w:tc>
          <w:tcPr>
            <w:tcW w:w="1617" w:type="dxa"/>
            <w:vAlign w:val="center"/>
          </w:tcPr>
          <w:p>
            <w:pPr>
              <w:pStyle w:val="4"/>
              <w:ind w:left="0" w:leftChars="0" w:firstLine="0" w:firstLineChars="0"/>
              <w:jc w:val="center"/>
              <w:rPr>
                <w:rFonts w:hint="eastAsia" w:ascii="仿宋" w:hAnsi="仿宋" w:eastAsia="仿宋" w:cs="仿宋"/>
                <w:sz w:val="28"/>
                <w:szCs w:val="28"/>
                <w:vertAlign w:val="baseline"/>
                <w:lang w:val="en-US" w:eastAsia="zh-CN"/>
              </w:rPr>
            </w:pPr>
            <w:r>
              <w:rPr>
                <w:rFonts w:hint="eastAsia" w:ascii="仿宋" w:hAnsi="仿宋" w:eastAsia="仿宋" w:cs="仿宋"/>
                <w:color w:val="000000"/>
                <w:sz w:val="28"/>
                <w:szCs w:val="28"/>
                <w:vertAlign w:val="baseline"/>
                <w:lang w:val="en-US" w:eastAsia="zh-CN"/>
              </w:rPr>
              <w:t>元/</w:t>
            </w:r>
            <w:r>
              <w:rPr>
                <w:rFonts w:hint="eastAsia" w:ascii="仿宋_GB2312" w:hAnsi="仿宋_GB2312" w:eastAsia="仿宋_GB2312" w:cs="仿宋_GB2312"/>
                <w:b w:val="0"/>
                <w:bCs w:val="0"/>
                <w:sz w:val="32"/>
                <w:szCs w:val="32"/>
                <w:lang w:val="en-US" w:eastAsia="zh-CN"/>
              </w:rPr>
              <w:t>㎡</w:t>
            </w:r>
          </w:p>
        </w:tc>
        <w:tc>
          <w:tcPr>
            <w:tcW w:w="2084" w:type="dxa"/>
            <w:vAlign w:val="center"/>
          </w:tcPr>
          <w:p>
            <w:pPr>
              <w:pStyle w:val="4"/>
              <w:ind w:left="0" w:leftChars="0" w:firstLine="0" w:firstLineChars="0"/>
              <w:jc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最高投标限价</w:t>
            </w:r>
          </w:p>
        </w:tc>
      </w:tr>
    </w:tbl>
    <w:p>
      <w:pPr>
        <w:widowControl/>
        <w:spacing w:line="500" w:lineRule="exact"/>
        <w:jc w:val="both"/>
        <w:rPr>
          <w:rFonts w:hint="eastAsia" w:ascii="宋体" w:hAnsi="宋体" w:cs="宋体"/>
          <w:b w:val="0"/>
          <w:bCs/>
          <w:color w:val="000000"/>
          <w:kern w:val="0"/>
          <w:sz w:val="32"/>
          <w:szCs w:val="32"/>
          <w:lang w:val="en-US" w:eastAsia="zh-CN"/>
        </w:rPr>
      </w:pPr>
    </w:p>
    <w:p>
      <w:pPr>
        <w:widowControl/>
        <w:spacing w:line="500" w:lineRule="exact"/>
        <w:jc w:val="both"/>
        <w:rPr>
          <w:rFonts w:hint="eastAsia" w:ascii="宋体" w:hAnsi="宋体" w:cs="宋体"/>
          <w:b w:val="0"/>
          <w:bCs/>
          <w:color w:val="000000"/>
          <w:kern w:val="0"/>
          <w:sz w:val="32"/>
          <w:szCs w:val="32"/>
          <w:lang w:val="en-US" w:eastAsia="zh-CN"/>
        </w:rPr>
      </w:pPr>
      <w:r>
        <w:rPr>
          <w:rFonts w:hint="eastAsia" w:ascii="宋体" w:hAnsi="宋体" w:cs="宋体"/>
          <w:b w:val="0"/>
          <w:bCs/>
          <w:color w:val="000000"/>
          <w:kern w:val="0"/>
          <w:sz w:val="32"/>
          <w:szCs w:val="32"/>
          <w:lang w:val="en-US" w:eastAsia="zh-CN"/>
        </w:rPr>
        <w:t>注意事项：投标报价超出控制价的视为无效投标。</w:t>
      </w:r>
    </w:p>
    <w:p>
      <w:pPr>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br w:type="page"/>
      </w:r>
    </w:p>
    <w:p>
      <w:pPr>
        <w:widowControl/>
        <w:spacing w:line="500" w:lineRule="exact"/>
        <w:ind w:firstLine="722"/>
        <w:jc w:val="both"/>
        <w:rPr>
          <w:rFonts w:hint="default" w:ascii="宋体" w:hAnsi="宋体" w:cs="宋体"/>
          <w:b w:val="0"/>
          <w:bCs/>
          <w:color w:val="000000"/>
          <w:kern w:val="0"/>
          <w:sz w:val="32"/>
          <w:szCs w:val="32"/>
          <w:lang w:val="en-US" w:eastAsia="zh-CN"/>
        </w:rPr>
      </w:pPr>
    </w:p>
    <w:p>
      <w:pPr>
        <w:widowControl/>
        <w:spacing w:line="500" w:lineRule="exact"/>
        <w:jc w:val="center"/>
        <w:rPr>
          <w:rFonts w:hint="eastAsia" w:ascii="宋体" w:hAnsi="宋体" w:eastAsia="宋体" w:cs="宋体"/>
          <w:b/>
          <w:bCs w:val="0"/>
          <w:color w:val="000000"/>
          <w:kern w:val="0"/>
          <w:sz w:val="36"/>
          <w:szCs w:val="36"/>
          <w:lang w:eastAsia="zh-CN"/>
        </w:rPr>
      </w:pPr>
      <w:r>
        <w:rPr>
          <w:rFonts w:hint="eastAsia" w:ascii="宋体" w:hAnsi="宋体" w:cs="宋体"/>
          <w:b/>
          <w:bCs w:val="0"/>
          <w:color w:val="000000"/>
          <w:kern w:val="0"/>
          <w:sz w:val="36"/>
          <w:szCs w:val="36"/>
          <w:lang w:eastAsia="zh-CN"/>
        </w:rPr>
        <w:t>报价表</w:t>
      </w:r>
    </w:p>
    <w:tbl>
      <w:tblPr>
        <w:tblStyle w:val="7"/>
        <w:tblpPr w:leftFromText="180" w:rightFromText="180" w:vertAnchor="text" w:horzAnchor="page" w:tblpX="1975" w:tblpY="21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12"/>
        <w:gridCol w:w="1400"/>
        <w:gridCol w:w="1566"/>
        <w:gridCol w:w="1584"/>
        <w:gridCol w:w="17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2" w:type="dxa"/>
            <w:vAlign w:val="center"/>
          </w:tcPr>
          <w:p>
            <w:pPr>
              <w:pStyle w:val="4"/>
              <w:ind w:left="0" w:leftChars="0" w:firstLine="0" w:firstLineChars="0"/>
              <w:jc w:val="center"/>
              <w:rPr>
                <w:rFonts w:hint="eastAsia" w:ascii="仿宋" w:hAnsi="仿宋" w:eastAsia="仿宋" w:cs="仿宋"/>
                <w:sz w:val="28"/>
                <w:szCs w:val="28"/>
                <w:vertAlign w:val="baseline"/>
                <w:lang w:eastAsia="zh-CN"/>
              </w:rPr>
            </w:pPr>
            <w:r>
              <w:rPr>
                <w:rFonts w:hint="eastAsia" w:ascii="仿宋" w:hAnsi="仿宋" w:eastAsia="仿宋" w:cs="仿宋"/>
                <w:sz w:val="28"/>
                <w:szCs w:val="28"/>
                <w:vertAlign w:val="baseline"/>
                <w:lang w:eastAsia="zh-CN"/>
              </w:rPr>
              <w:t>项目名称</w:t>
            </w:r>
          </w:p>
        </w:tc>
        <w:tc>
          <w:tcPr>
            <w:tcW w:w="1400" w:type="dxa"/>
            <w:vAlign w:val="center"/>
          </w:tcPr>
          <w:p>
            <w:pPr>
              <w:pStyle w:val="4"/>
              <w:ind w:left="0" w:leftChars="0" w:firstLine="0" w:firstLineChars="0"/>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类型</w:t>
            </w:r>
          </w:p>
        </w:tc>
        <w:tc>
          <w:tcPr>
            <w:tcW w:w="1566" w:type="dxa"/>
            <w:vAlign w:val="center"/>
          </w:tcPr>
          <w:p>
            <w:pPr>
              <w:pStyle w:val="4"/>
              <w:ind w:left="0" w:leftChars="0" w:firstLine="0" w:firstLineChars="0"/>
              <w:jc w:val="center"/>
              <w:rPr>
                <w:rFonts w:hint="eastAsia" w:ascii="仿宋" w:hAnsi="仿宋" w:eastAsia="仿宋" w:cs="仿宋"/>
                <w:sz w:val="28"/>
                <w:szCs w:val="28"/>
                <w:vertAlign w:val="baseline"/>
                <w:lang w:eastAsia="zh-CN"/>
              </w:rPr>
            </w:pPr>
            <w:r>
              <w:rPr>
                <w:rFonts w:hint="eastAsia" w:ascii="仿宋" w:hAnsi="仿宋" w:eastAsia="仿宋" w:cs="仿宋"/>
                <w:sz w:val="28"/>
                <w:szCs w:val="28"/>
                <w:vertAlign w:val="baseline"/>
                <w:lang w:eastAsia="zh-CN"/>
              </w:rPr>
              <w:t>投标报价</w:t>
            </w:r>
          </w:p>
        </w:tc>
        <w:tc>
          <w:tcPr>
            <w:tcW w:w="1584" w:type="dxa"/>
            <w:vAlign w:val="center"/>
          </w:tcPr>
          <w:p>
            <w:pPr>
              <w:pStyle w:val="4"/>
              <w:ind w:left="0" w:leftChars="0" w:firstLine="0" w:firstLineChars="0"/>
              <w:jc w:val="center"/>
              <w:rPr>
                <w:rFonts w:hint="eastAsia" w:ascii="仿宋" w:hAnsi="仿宋" w:eastAsia="仿宋" w:cs="仿宋"/>
                <w:sz w:val="28"/>
                <w:szCs w:val="28"/>
                <w:vertAlign w:val="baseline"/>
                <w:lang w:eastAsia="zh-CN"/>
              </w:rPr>
            </w:pPr>
            <w:r>
              <w:rPr>
                <w:rFonts w:hint="eastAsia" w:ascii="仿宋" w:hAnsi="仿宋" w:eastAsia="仿宋" w:cs="仿宋"/>
                <w:sz w:val="28"/>
                <w:szCs w:val="28"/>
                <w:vertAlign w:val="baseline"/>
                <w:lang w:eastAsia="zh-CN"/>
              </w:rPr>
              <w:t>单位</w:t>
            </w:r>
          </w:p>
        </w:tc>
        <w:tc>
          <w:tcPr>
            <w:tcW w:w="1757" w:type="dxa"/>
            <w:vAlign w:val="center"/>
          </w:tcPr>
          <w:p>
            <w:pPr>
              <w:pStyle w:val="4"/>
              <w:ind w:left="0" w:leftChars="0" w:firstLine="0" w:firstLineChars="0"/>
              <w:jc w:val="center"/>
              <w:rPr>
                <w:rFonts w:hint="eastAsia" w:ascii="仿宋" w:hAnsi="仿宋" w:eastAsia="仿宋" w:cs="仿宋"/>
                <w:sz w:val="28"/>
                <w:szCs w:val="28"/>
                <w:vertAlign w:val="baseline"/>
                <w:lang w:eastAsia="zh-CN"/>
              </w:rPr>
            </w:pPr>
            <w:r>
              <w:rPr>
                <w:rFonts w:hint="eastAsia" w:ascii="仿宋" w:hAnsi="仿宋" w:eastAsia="仿宋" w:cs="仿宋"/>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8" w:hRule="atLeast"/>
        </w:trPr>
        <w:tc>
          <w:tcPr>
            <w:tcW w:w="2212" w:type="dxa"/>
            <w:vAlign w:val="center"/>
          </w:tcPr>
          <w:p>
            <w:pPr>
              <w:pStyle w:val="4"/>
              <w:ind w:left="0" w:leftChars="0" w:firstLine="0" w:firstLineChars="0"/>
              <w:jc w:val="center"/>
              <w:rPr>
                <w:rFonts w:hint="eastAsia" w:ascii="仿宋" w:hAnsi="仿宋" w:eastAsia="仿宋" w:cs="仿宋"/>
                <w:sz w:val="28"/>
                <w:szCs w:val="28"/>
                <w:vertAlign w:val="baseline"/>
                <w:lang w:eastAsia="zh-CN"/>
              </w:rPr>
            </w:pPr>
            <w:r>
              <w:rPr>
                <w:rFonts w:hint="eastAsia" w:ascii="仿宋" w:hAnsi="仿宋" w:eastAsia="仿宋" w:cs="仿宋"/>
                <w:b w:val="0"/>
                <w:bCs/>
                <w:sz w:val="30"/>
                <w:szCs w:val="30"/>
                <w:u w:val="none"/>
              </w:rPr>
              <w:t>会昌县公立托育机构建设项目</w:t>
            </w:r>
          </w:p>
        </w:tc>
        <w:tc>
          <w:tcPr>
            <w:tcW w:w="1400" w:type="dxa"/>
            <w:vAlign w:val="center"/>
          </w:tcPr>
          <w:p>
            <w:pPr>
              <w:pStyle w:val="4"/>
              <w:ind w:left="0" w:leftChars="0" w:firstLine="0" w:firstLineChars="0"/>
              <w:jc w:val="center"/>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eastAsia="zh-CN"/>
              </w:rPr>
              <w:t>主体检测</w:t>
            </w:r>
          </w:p>
        </w:tc>
        <w:tc>
          <w:tcPr>
            <w:tcW w:w="1566" w:type="dxa"/>
            <w:vAlign w:val="center"/>
          </w:tcPr>
          <w:p>
            <w:pPr>
              <w:pStyle w:val="4"/>
              <w:ind w:left="0" w:leftChars="0" w:firstLine="0" w:firstLineChars="0"/>
              <w:jc w:val="center"/>
              <w:rPr>
                <w:rFonts w:hint="eastAsia" w:ascii="仿宋" w:hAnsi="仿宋" w:eastAsia="仿宋" w:cs="仿宋"/>
                <w:sz w:val="28"/>
                <w:szCs w:val="28"/>
                <w:vertAlign w:val="baseline"/>
                <w:lang w:val="en-US" w:eastAsia="zh-CN"/>
              </w:rPr>
            </w:pPr>
          </w:p>
        </w:tc>
        <w:tc>
          <w:tcPr>
            <w:tcW w:w="1584" w:type="dxa"/>
            <w:vAlign w:val="center"/>
          </w:tcPr>
          <w:p>
            <w:pPr>
              <w:pStyle w:val="4"/>
              <w:ind w:left="0" w:leftChars="0" w:firstLine="0" w:firstLineChars="0"/>
              <w:jc w:val="center"/>
              <w:rPr>
                <w:rFonts w:hint="eastAsia" w:ascii="仿宋" w:hAnsi="仿宋" w:eastAsia="仿宋" w:cs="仿宋"/>
                <w:sz w:val="28"/>
                <w:szCs w:val="28"/>
                <w:vertAlign w:val="baseline"/>
                <w:lang w:eastAsia="zh-CN"/>
              </w:rPr>
            </w:pPr>
            <w:r>
              <w:rPr>
                <w:rFonts w:hint="eastAsia" w:ascii="仿宋" w:hAnsi="仿宋" w:eastAsia="仿宋" w:cs="仿宋"/>
                <w:color w:val="000000"/>
                <w:sz w:val="28"/>
                <w:szCs w:val="28"/>
                <w:vertAlign w:val="baseline"/>
                <w:lang w:val="en-US" w:eastAsia="zh-CN"/>
              </w:rPr>
              <w:t>元/</w:t>
            </w:r>
            <w:r>
              <w:rPr>
                <w:rFonts w:hint="eastAsia" w:ascii="仿宋_GB2312" w:hAnsi="仿宋_GB2312" w:eastAsia="仿宋_GB2312" w:cs="仿宋_GB2312"/>
                <w:b w:val="0"/>
                <w:bCs w:val="0"/>
                <w:sz w:val="32"/>
                <w:szCs w:val="32"/>
                <w:lang w:val="en-US" w:eastAsia="zh-CN"/>
              </w:rPr>
              <w:t>㎡</w:t>
            </w:r>
          </w:p>
        </w:tc>
        <w:tc>
          <w:tcPr>
            <w:tcW w:w="1757" w:type="dxa"/>
            <w:vAlign w:val="center"/>
          </w:tcPr>
          <w:p>
            <w:pPr>
              <w:pStyle w:val="4"/>
              <w:ind w:left="0" w:leftChars="0" w:firstLine="0" w:firstLineChars="0"/>
              <w:jc w:val="center"/>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固定单价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2" w:hRule="atLeast"/>
        </w:trPr>
        <w:tc>
          <w:tcPr>
            <w:tcW w:w="2212" w:type="dxa"/>
            <w:vAlign w:val="center"/>
          </w:tcPr>
          <w:p>
            <w:pPr>
              <w:pStyle w:val="4"/>
              <w:ind w:left="0" w:leftChars="0" w:firstLine="0" w:firstLineChars="0"/>
              <w:jc w:val="center"/>
              <w:rPr>
                <w:rFonts w:hint="eastAsia" w:ascii="仿宋" w:hAnsi="仿宋" w:eastAsia="仿宋" w:cs="仿宋"/>
                <w:sz w:val="28"/>
                <w:szCs w:val="28"/>
                <w:vertAlign w:val="baseline"/>
                <w:lang w:val="en-US" w:eastAsia="zh-CN"/>
              </w:rPr>
            </w:pPr>
            <w:r>
              <w:rPr>
                <w:rFonts w:hint="eastAsia" w:ascii="仿宋" w:hAnsi="仿宋" w:eastAsia="仿宋" w:cs="仿宋"/>
                <w:b w:val="0"/>
                <w:bCs/>
                <w:sz w:val="30"/>
                <w:szCs w:val="30"/>
                <w:u w:val="none"/>
              </w:rPr>
              <w:t>会昌县消防训练基地（九州大道特勤消防救援站）建设项目</w:t>
            </w:r>
          </w:p>
        </w:tc>
        <w:tc>
          <w:tcPr>
            <w:tcW w:w="1400" w:type="dxa"/>
            <w:vAlign w:val="center"/>
          </w:tcPr>
          <w:p>
            <w:pPr>
              <w:pStyle w:val="4"/>
              <w:ind w:left="0" w:leftChars="0" w:firstLine="0" w:firstLineChars="0"/>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主体检测</w:t>
            </w:r>
          </w:p>
        </w:tc>
        <w:tc>
          <w:tcPr>
            <w:tcW w:w="1566" w:type="dxa"/>
            <w:vAlign w:val="center"/>
          </w:tcPr>
          <w:p>
            <w:pPr>
              <w:pStyle w:val="4"/>
              <w:ind w:left="0" w:leftChars="0" w:firstLine="0" w:firstLineChars="0"/>
              <w:jc w:val="center"/>
              <w:rPr>
                <w:rFonts w:hint="eastAsia" w:ascii="仿宋" w:hAnsi="仿宋" w:eastAsia="仿宋" w:cs="仿宋"/>
                <w:sz w:val="28"/>
                <w:szCs w:val="28"/>
                <w:vertAlign w:val="baseline"/>
                <w:lang w:val="en-US" w:eastAsia="zh-CN"/>
              </w:rPr>
            </w:pPr>
          </w:p>
        </w:tc>
        <w:tc>
          <w:tcPr>
            <w:tcW w:w="1584" w:type="dxa"/>
            <w:vAlign w:val="center"/>
          </w:tcPr>
          <w:p>
            <w:pPr>
              <w:pStyle w:val="4"/>
              <w:ind w:left="0" w:leftChars="0" w:firstLine="0" w:firstLineChars="0"/>
              <w:jc w:val="center"/>
              <w:rPr>
                <w:rFonts w:hint="eastAsia" w:ascii="仿宋" w:hAnsi="仿宋" w:eastAsia="仿宋" w:cs="仿宋"/>
                <w:sz w:val="28"/>
                <w:szCs w:val="28"/>
                <w:vertAlign w:val="baseline"/>
                <w:lang w:val="en-US" w:eastAsia="zh-CN"/>
              </w:rPr>
            </w:pPr>
            <w:r>
              <w:rPr>
                <w:rFonts w:hint="eastAsia" w:ascii="仿宋" w:hAnsi="仿宋" w:eastAsia="仿宋" w:cs="仿宋"/>
                <w:color w:val="000000"/>
                <w:sz w:val="28"/>
                <w:szCs w:val="28"/>
                <w:vertAlign w:val="baseline"/>
                <w:lang w:val="en-US" w:eastAsia="zh-CN"/>
              </w:rPr>
              <w:t>元/</w:t>
            </w:r>
            <w:r>
              <w:rPr>
                <w:rFonts w:hint="eastAsia" w:ascii="仿宋_GB2312" w:hAnsi="仿宋_GB2312" w:eastAsia="仿宋_GB2312" w:cs="仿宋_GB2312"/>
                <w:b w:val="0"/>
                <w:bCs w:val="0"/>
                <w:sz w:val="32"/>
                <w:szCs w:val="32"/>
                <w:lang w:val="en-US" w:eastAsia="zh-CN"/>
              </w:rPr>
              <w:t>㎡</w:t>
            </w:r>
          </w:p>
        </w:tc>
        <w:tc>
          <w:tcPr>
            <w:tcW w:w="1757" w:type="dxa"/>
            <w:vAlign w:val="center"/>
          </w:tcPr>
          <w:p>
            <w:pPr>
              <w:pStyle w:val="4"/>
              <w:ind w:left="0" w:leftChars="0" w:firstLine="0" w:firstLineChars="0"/>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固定单价</w:t>
            </w:r>
          </w:p>
        </w:tc>
      </w:tr>
    </w:tbl>
    <w:p>
      <w:pPr>
        <w:ind w:firstLine="640" w:firstLineChars="200"/>
        <w:rPr>
          <w:rFonts w:hint="eastAsia" w:ascii="仿宋_GB2312" w:hAnsi="仿宋_GB2312" w:eastAsia="仿宋_GB2312" w:cs="仿宋_GB2312"/>
          <w:b w:val="0"/>
          <w:bCs w:val="0"/>
          <w:sz w:val="32"/>
          <w:szCs w:val="32"/>
          <w:lang w:val="en-US" w:eastAsia="zh-CN"/>
        </w:rPr>
      </w:pPr>
    </w:p>
    <w:p>
      <w:pPr>
        <w:ind w:firstLine="640" w:firstLineChars="200"/>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我公司已在报价前已充分进行了现场踏勘、测量、风险评估、工期提前等所有风险，上述报价包含</w:t>
      </w:r>
      <w:r>
        <w:rPr>
          <w:rFonts w:hint="eastAsia" w:ascii="仿宋" w:hAnsi="仿宋" w:eastAsia="仿宋" w:cs="仿宋"/>
          <w:b w:val="0"/>
          <w:bCs/>
          <w:color w:val="000000"/>
          <w:sz w:val="32"/>
          <w:szCs w:val="32"/>
          <w:lang w:eastAsia="zh-CN"/>
        </w:rPr>
        <w:t>项目主体检测</w:t>
      </w:r>
      <w:r>
        <w:rPr>
          <w:rFonts w:hint="eastAsia" w:ascii="仿宋" w:hAnsi="仿宋" w:eastAsia="仿宋" w:cs="仿宋"/>
          <w:b w:val="0"/>
          <w:bCs/>
          <w:color w:val="000000"/>
          <w:sz w:val="32"/>
          <w:szCs w:val="32"/>
          <w:lang w:val="en-US" w:eastAsia="zh-CN"/>
        </w:rPr>
        <w:t>等相关费用并</w:t>
      </w:r>
      <w:r>
        <w:rPr>
          <w:rFonts w:hint="eastAsia" w:ascii="仿宋_GB2312" w:hAnsi="仿宋_GB2312" w:eastAsia="仿宋_GB2312" w:cs="仿宋_GB2312"/>
          <w:b w:val="0"/>
          <w:bCs w:val="0"/>
          <w:sz w:val="32"/>
          <w:szCs w:val="32"/>
          <w:lang w:val="en-US" w:eastAsia="zh-CN"/>
        </w:rPr>
        <w:t>按项目实际情况和设计图纸要求提交以上报价。</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报价公司（盖章/签字）：</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4160" w:firstLineChars="13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联系电话：</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3200" w:firstLineChars="10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2023年    月    日</w:t>
      </w:r>
    </w:p>
    <w:p>
      <w:pPr>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br w:type="page"/>
      </w:r>
    </w:p>
    <w:p>
      <w:pPr>
        <w:spacing w:line="480" w:lineRule="exact"/>
        <w:jc w:val="center"/>
        <w:rPr>
          <w:rFonts w:hint="eastAsia" w:ascii="黑体" w:hAnsi="黑体" w:eastAsia="黑体" w:cs="黑体"/>
          <w:bCs/>
          <w:sz w:val="44"/>
          <w:szCs w:val="44"/>
          <w:lang w:val="en-US" w:eastAsia="zh-CN"/>
        </w:rPr>
      </w:pPr>
      <w:r>
        <w:rPr>
          <w:rFonts w:hint="eastAsia" w:ascii="黑体" w:hAnsi="黑体" w:eastAsia="黑体" w:cs="黑体"/>
          <w:bCs/>
          <w:sz w:val="44"/>
          <w:szCs w:val="44"/>
          <w:lang w:val="en-US" w:eastAsia="zh-CN"/>
        </w:rPr>
        <w:t>承诺书</w:t>
      </w:r>
    </w:p>
    <w:p>
      <w:pPr>
        <w:spacing w:line="480" w:lineRule="exact"/>
        <w:jc w:val="center"/>
        <w:rPr>
          <w:rFonts w:hint="eastAsia" w:ascii="黑体" w:hAnsi="黑体" w:eastAsia="黑体" w:cs="黑体"/>
          <w:bCs/>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黑体" w:hAnsi="黑体" w:eastAsia="黑体" w:cs="黑体"/>
          <w:bCs/>
          <w:sz w:val="28"/>
          <w:szCs w:val="28"/>
          <w:lang w:val="en-US" w:eastAsia="zh-CN"/>
        </w:rPr>
        <w:t xml:space="preserve">   </w:t>
      </w:r>
      <w:r>
        <w:rPr>
          <w:rFonts w:hint="eastAsia" w:ascii="仿宋_GB2312" w:hAnsi="仿宋_GB2312" w:eastAsia="仿宋_GB2312" w:cs="仿宋_GB2312"/>
          <w:b w:val="0"/>
          <w:bCs w:val="0"/>
          <w:sz w:val="32"/>
          <w:szCs w:val="32"/>
          <w:lang w:val="en-US" w:eastAsia="zh-CN"/>
        </w:rPr>
        <w:t xml:space="preserve"> 我单位为独立法人单位，我公司主要人员及其直系亲属均未有在会昌县恒茂建设发展集团有限责任公司（包括下属子公司）从业的记录以及不存在控股、管理关系和亲属等利害关系。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特此承诺。</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我公司对本承诺的真实性负责，并承担相应法律责任。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单位：（公章）</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年    月    日</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right"/>
        <w:textAlignment w:val="auto"/>
        <w:rPr>
          <w:rFonts w:hint="eastAsia" w:ascii="仿宋_GB2312" w:hAnsi="仿宋_GB2312" w:eastAsia="仿宋_GB2312" w:cs="仿宋_GB2312"/>
          <w:b w:val="0"/>
          <w:bCs w:val="0"/>
          <w:sz w:val="32"/>
          <w:szCs w:val="32"/>
          <w:lang w:val="en-US" w:eastAsia="zh-CN"/>
        </w:rPr>
      </w:pPr>
    </w:p>
    <w:p>
      <w:pPr>
        <w:widowControl/>
        <w:spacing w:line="500" w:lineRule="exact"/>
        <w:jc w:val="center"/>
        <w:rPr>
          <w:rFonts w:hint="eastAsia" w:ascii="宋体" w:hAnsi="宋体" w:cs="宋体"/>
          <w:b/>
          <w:bCs w:val="0"/>
          <w:color w:val="000000"/>
          <w:kern w:val="0"/>
          <w:sz w:val="36"/>
          <w:szCs w:val="36"/>
          <w:lang w:eastAsia="zh-CN"/>
        </w:rPr>
      </w:pPr>
    </w:p>
    <w:p>
      <w:pPr>
        <w:widowControl/>
        <w:spacing w:line="500" w:lineRule="exact"/>
        <w:jc w:val="center"/>
        <w:rPr>
          <w:rFonts w:hint="eastAsia" w:ascii="宋体" w:hAnsi="宋体" w:cs="宋体"/>
          <w:b/>
          <w:bCs w:val="0"/>
          <w:color w:val="000000"/>
          <w:kern w:val="0"/>
          <w:sz w:val="36"/>
          <w:szCs w:val="36"/>
          <w:lang w:eastAsia="zh-CN"/>
        </w:rPr>
      </w:pPr>
    </w:p>
    <w:p>
      <w:pPr>
        <w:rPr>
          <w:rFonts w:hint="eastAsia" w:ascii="仿宋_GB2312" w:hAnsi="仿宋_GB2312" w:eastAsia="仿宋_GB2312" w:cs="仿宋_GB2312"/>
          <w:b w:val="0"/>
          <w:bCs w:val="0"/>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0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singleLevel"/>
    <w:tmpl w:val="00000000"/>
    <w:lvl w:ilvl="0" w:tentative="0">
      <w:start w:val="4"/>
      <w:numFmt w:val="decimal"/>
      <w:suff w:val="nothing"/>
      <w:lvlText w:val="%1、"/>
      <w:lvlJc w:val="left"/>
    </w:lvl>
  </w:abstractNum>
  <w:abstractNum w:abstractNumId="1">
    <w:nsid w:val="60CE400C"/>
    <w:multiLevelType w:val="singleLevel"/>
    <w:tmpl w:val="60CE400C"/>
    <w:lvl w:ilvl="0" w:tentative="0">
      <w:start w:val="5"/>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cxODc1MmNhOTg5NjRmOTZkOWZmZmJlZTQwYjQ3MzMifQ=="/>
  </w:docVars>
  <w:rsids>
    <w:rsidRoot w:val="00000000"/>
    <w:rsid w:val="0394658D"/>
    <w:rsid w:val="06C0204E"/>
    <w:rsid w:val="09D94AF6"/>
    <w:rsid w:val="0B2D1730"/>
    <w:rsid w:val="0F6B4008"/>
    <w:rsid w:val="12DD7EA1"/>
    <w:rsid w:val="1CBD66FD"/>
    <w:rsid w:val="2FF46872"/>
    <w:rsid w:val="41E77C61"/>
    <w:rsid w:val="4D46449D"/>
    <w:rsid w:val="7D3923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paragraph" w:styleId="2">
    <w:name w:val="heading 2"/>
    <w:basedOn w:val="1"/>
    <w:next w:val="1"/>
    <w:qFormat/>
    <w:uiPriority w:val="0"/>
    <w:pPr>
      <w:adjustRightInd w:val="0"/>
      <w:snapToGrid w:val="0"/>
      <w:spacing w:beforeAutospacing="0" w:afterAutospacing="0" w:line="360" w:lineRule="auto"/>
      <w:ind w:firstLine="643" w:firstLineChars="200"/>
      <w:jc w:val="left"/>
      <w:outlineLvl w:val="1"/>
    </w:pPr>
    <w:rPr>
      <w:rFonts w:hint="eastAsia"/>
      <w:b/>
      <w:bCs/>
      <w:kern w:val="0"/>
    </w:rPr>
  </w:style>
  <w:style w:type="character" w:default="1" w:styleId="8">
    <w:name w:val="Default Paragraph Font"/>
    <w:qFormat/>
    <w:uiPriority w:val="0"/>
  </w:style>
  <w:style w:type="table" w:default="1" w:styleId="6">
    <w:name w:val="Normal Table"/>
    <w:qFormat/>
    <w:uiPriority w:val="0"/>
    <w:tblPr>
      <w:tblCellMar>
        <w:top w:w="0" w:type="dxa"/>
        <w:left w:w="108" w:type="dxa"/>
        <w:bottom w:w="0" w:type="dxa"/>
        <w:right w:w="108" w:type="dxa"/>
      </w:tblCellMar>
    </w:tblPr>
  </w:style>
  <w:style w:type="paragraph" w:styleId="3">
    <w:name w:val="Normal Indent"/>
    <w:basedOn w:val="1"/>
    <w:qFormat/>
    <w:uiPriority w:val="0"/>
    <w:pPr>
      <w:ind w:firstLine="420" w:firstLineChars="200"/>
    </w:pPr>
    <w:rPr>
      <w:rFonts w:ascii="Calibri" w:hAnsi="Calibri" w:eastAsia="仿宋"/>
      <w:sz w:val="32"/>
    </w:rPr>
  </w:style>
  <w:style w:type="paragraph" w:styleId="4">
    <w:name w:val="Body Text Indent"/>
    <w:basedOn w:val="1"/>
    <w:next w:val="3"/>
    <w:qFormat/>
    <w:uiPriority w:val="0"/>
    <w:pPr>
      <w:spacing w:after="120"/>
      <w:ind w:left="420" w:leftChars="200"/>
    </w:pPr>
    <w:rPr>
      <w:rFonts w:eastAsia="宋体" w:cs="Times New Roman"/>
      <w:sz w:val="21"/>
    </w:rPr>
  </w:style>
  <w:style w:type="paragraph" w:styleId="5">
    <w:name w:val="Body Text First Indent 2"/>
    <w:basedOn w:val="4"/>
    <w:qFormat/>
    <w:uiPriority w:val="0"/>
    <w:pPr>
      <w:ind w:firstLine="420" w:firstLineChars="200"/>
    </w:pPr>
    <w:rPr>
      <w:szCs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Emphasis"/>
    <w:basedOn w:val="8"/>
    <w:qFormat/>
    <w:uiPriority w:val="0"/>
    <w:rPr>
      <w:i/>
    </w:rPr>
  </w:style>
  <w:style w:type="character" w:styleId="10">
    <w:name w:val="Hyperlink"/>
    <w:qFormat/>
    <w:uiPriority w:val="0"/>
    <w:rPr>
      <w:color w:val="0000FF"/>
      <w:u w:val="single"/>
    </w:rPr>
  </w:style>
  <w:style w:type="character" w:customStyle="1" w:styleId="11">
    <w:name w:val="font41"/>
    <w:basedOn w:val="8"/>
    <w:qFormat/>
    <w:uiPriority w:val="0"/>
    <w:rPr>
      <w:rFonts w:hint="eastAsia" w:ascii="宋体" w:hAnsi="宋体" w:eastAsia="宋体" w:cs="宋体"/>
      <w:color w:val="000000"/>
      <w:sz w:val="18"/>
      <w:szCs w:val="18"/>
      <w:u w:val="none"/>
    </w:rPr>
  </w:style>
  <w:style w:type="character" w:customStyle="1" w:styleId="12">
    <w:name w:val="font31"/>
    <w:basedOn w:val="8"/>
    <w:qFormat/>
    <w:uiPriority w:val="0"/>
    <w:rPr>
      <w:rFonts w:hint="default" w:ascii="Times New Roman" w:hAnsi="Times New Roman" w:cs="Times New Roman"/>
      <w:color w:val="000000"/>
      <w:sz w:val="18"/>
      <w:szCs w:val="18"/>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1763</Words>
  <Characters>1826</Characters>
  <Paragraphs>155</Paragraphs>
  <TotalTime>2</TotalTime>
  <ScaleCrop>false</ScaleCrop>
  <LinksUpToDate>false</LinksUpToDate>
  <CharactersWithSpaces>1919</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Fbewon</cp:lastModifiedBy>
  <cp:lastPrinted>2022-08-02T07:06:00Z</cp:lastPrinted>
  <dcterms:modified xsi:type="dcterms:W3CDTF">2023-04-25T03:39:46Z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D5686C311FAE457A99D700CBCB49C080</vt:lpwstr>
  </property>
</Properties>
</file>