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在会昌县金融大楼项目</w:t>
      </w:r>
      <w:r>
        <w:rPr>
          <w:rFonts w:hint="eastAsia" w:ascii="黑体" w:hAnsi="黑体" w:eastAsia="黑体" w:cs="黑体"/>
          <w:sz w:val="28"/>
          <w:szCs w:val="28"/>
        </w:rPr>
        <w:t>现</w:t>
      </w:r>
      <w:r>
        <w:rPr>
          <w:rFonts w:hint="eastAsia" w:ascii="黑体" w:hAnsi="黑体" w:eastAsia="黑体" w:cs="黑体"/>
          <w:sz w:val="28"/>
          <w:szCs w:val="28"/>
          <w:lang w:val="en-US" w:eastAsia="zh-CN"/>
        </w:rPr>
        <w:t>需邀请路灯专业施工班组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r>
        <w:rPr>
          <w:rFonts w:hint="eastAsia" w:ascii="黑体" w:hAnsi="黑体" w:eastAsia="黑体" w:cs="黑体"/>
          <w:bCs/>
          <w:sz w:val="28"/>
          <w:szCs w:val="28"/>
          <w:lang w:val="en-US" w:eastAsia="zh-CN"/>
        </w:rPr>
        <w:t>报价必须密封否则无效</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报价截止时间为2022年12</w:t>
      </w:r>
      <w:bookmarkStart w:id="0" w:name="_GoBack"/>
      <w:bookmarkEnd w:id="0"/>
      <w:r>
        <w:rPr>
          <w:rFonts w:hint="eastAsia" w:ascii="黑体" w:hAnsi="黑体" w:eastAsia="黑体" w:cs="黑体"/>
          <w:sz w:val="28"/>
          <w:szCs w:val="28"/>
          <w:lang w:val="en-US" w:eastAsia="zh-CN"/>
        </w:rPr>
        <w:t>月5日18时。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pStyle w:val="2"/>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路灯安装</w:t>
      </w:r>
    </w:p>
    <w:p>
      <w:pPr>
        <w:numPr>
          <w:ilvl w:val="0"/>
          <w:numId w:val="1"/>
        </w:num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询价内容及要求</w:t>
      </w:r>
      <w:r>
        <w:rPr>
          <w:rFonts w:hint="eastAsia" w:ascii="黑体" w:hAnsi="黑体" w:eastAsia="黑体" w:cs="黑体"/>
          <w:sz w:val="28"/>
          <w:szCs w:val="28"/>
          <w:lang w:eastAsia="zh-CN"/>
        </w:rPr>
        <w:t>：</w:t>
      </w:r>
    </w:p>
    <w:p>
      <w:pPr>
        <w:pStyle w:val="2"/>
        <w:widowControl w:val="0"/>
        <w:numPr>
          <w:ilvl w:val="0"/>
          <w:numId w:val="0"/>
        </w:numPr>
        <w:spacing w:after="120" w:line="276" w:lineRule="auto"/>
        <w:jc w:val="both"/>
        <w:rPr>
          <w:rFonts w:hint="eastAsia"/>
          <w:lang w:eastAsia="zh-CN"/>
        </w:rPr>
      </w:pPr>
    </w:p>
    <w:p>
      <w:pPr>
        <w:pStyle w:val="2"/>
        <w:widowControl w:val="0"/>
        <w:numPr>
          <w:ilvl w:val="0"/>
          <w:numId w:val="0"/>
        </w:numPr>
        <w:spacing w:after="120" w:line="276" w:lineRule="auto"/>
        <w:jc w:val="both"/>
        <w:rPr>
          <w:rFonts w:hint="eastAsia"/>
          <w:lang w:eastAsia="zh-CN"/>
        </w:rPr>
      </w:pPr>
    </w:p>
    <w:p>
      <w:pPr>
        <w:pStyle w:val="2"/>
        <w:widowControl w:val="0"/>
        <w:numPr>
          <w:ilvl w:val="0"/>
          <w:numId w:val="0"/>
        </w:numPr>
        <w:spacing w:after="120" w:line="276" w:lineRule="auto"/>
        <w:jc w:val="both"/>
        <w:rPr>
          <w:rFonts w:hint="eastAsia"/>
          <w:lang w:eastAsia="zh-CN"/>
        </w:rPr>
      </w:pPr>
    </w:p>
    <w:p>
      <w:pPr>
        <w:pStyle w:val="2"/>
        <w:widowControl w:val="0"/>
        <w:numPr>
          <w:ilvl w:val="0"/>
          <w:numId w:val="0"/>
        </w:numPr>
        <w:spacing w:after="120" w:line="276" w:lineRule="auto"/>
        <w:jc w:val="both"/>
        <w:rPr>
          <w:rFonts w:hint="eastAsia"/>
          <w:lang w:eastAsia="zh-CN"/>
        </w:rPr>
      </w:pPr>
    </w:p>
    <w:p>
      <w:pPr>
        <w:pStyle w:val="2"/>
        <w:widowControl w:val="0"/>
        <w:numPr>
          <w:ilvl w:val="0"/>
          <w:numId w:val="0"/>
        </w:numPr>
        <w:spacing w:after="120" w:line="276" w:lineRule="auto"/>
        <w:jc w:val="both"/>
        <w:rPr>
          <w:rFonts w:hint="eastAsia"/>
          <w:lang w:eastAsia="zh-CN"/>
        </w:rPr>
      </w:pPr>
    </w:p>
    <w:p>
      <w:pPr>
        <w:pStyle w:val="2"/>
        <w:widowControl w:val="0"/>
        <w:numPr>
          <w:ilvl w:val="0"/>
          <w:numId w:val="0"/>
        </w:numPr>
        <w:spacing w:after="120" w:line="276" w:lineRule="auto"/>
        <w:jc w:val="both"/>
        <w:rPr>
          <w:rFonts w:hint="eastAsia"/>
          <w:lang w:eastAsia="zh-CN"/>
        </w:rPr>
      </w:pPr>
    </w:p>
    <w:p>
      <w:pPr>
        <w:pStyle w:val="2"/>
        <w:widowControl w:val="0"/>
        <w:numPr>
          <w:ilvl w:val="0"/>
          <w:numId w:val="0"/>
        </w:numPr>
        <w:spacing w:after="120" w:line="276" w:lineRule="auto"/>
        <w:jc w:val="both"/>
        <w:rPr>
          <w:rFonts w:hint="eastAsia"/>
          <w:lang w:eastAsia="zh-CN"/>
        </w:rPr>
      </w:pP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控制价</w:t>
      </w:r>
    </w:p>
    <w:tbl>
      <w:tblPr>
        <w:tblStyle w:val="7"/>
        <w:tblW w:w="99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34"/>
        <w:gridCol w:w="3264"/>
        <w:gridCol w:w="983"/>
        <w:gridCol w:w="1136"/>
        <w:gridCol w:w="104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规格及要求</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控制价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落地式配电箱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1.名称：景观照明配电箱1AL </w:t>
            </w:r>
          </w:p>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2.其他：含箱内所有电气元件，具体详见配电箱系统图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1577</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1577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常规照明灯</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1.名称：庭院灯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2.规格：36W，H=3.5m，2000K，IP55</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2689</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26890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配管</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1.名称：PE塑料管 </w:t>
            </w:r>
          </w:p>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2.规格：DN32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3.敷设方式：埋地敷设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193.67</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13</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2517.71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电缆</w:t>
            </w:r>
            <w:r>
              <w:rPr>
                <w:rFonts w:hint="eastAsia" w:ascii="宋体" w:hAnsi="宋体" w:cs="宋体"/>
                <w:i w:val="0"/>
                <w:iCs w:val="0"/>
                <w:color w:val="000000"/>
                <w:kern w:val="0"/>
                <w:sz w:val="18"/>
                <w:szCs w:val="18"/>
                <w:u w:val="none"/>
                <w:lang w:val="en-US" w:eastAsia="zh-CN" w:bidi="ar"/>
              </w:rPr>
              <w:t>及安装费</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1.名称：铜芯电力电缆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2.规格：YJV-2x4+E4</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226.85</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75</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17013.75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路灯零件</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接地极：5*50*2500镀锌角钢接地极</w:t>
            </w:r>
          </w:p>
          <w:p>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2.路灯接地线：φ12镀锌圆钢</w:t>
            </w:r>
          </w:p>
          <w:p>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3.供电系统,接地装置调试 路灯柱接地测试 一柱、一独立接地、一测</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1000</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6</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基础设施</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基座开挖及回填、现浇构件钢筋制安、自拌混凝土浇筑。</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座</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140</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992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合计金额：</w:t>
            </w:r>
            <w:r>
              <w:rPr>
                <w:rFonts w:hint="eastAsia" w:ascii="宋体" w:hAnsi="宋体" w:cs="宋体"/>
                <w:i w:val="0"/>
                <w:iCs w:val="0"/>
                <w:color w:val="000000"/>
                <w:kern w:val="0"/>
                <w:sz w:val="24"/>
                <w:szCs w:val="24"/>
                <w:u w:val="none"/>
                <w:lang w:val="en-US" w:eastAsia="zh-CN" w:bidi="ar"/>
              </w:rPr>
              <w:t>50398.46</w:t>
            </w:r>
            <w:r>
              <w:rPr>
                <w:rFonts w:hint="eastAsia" w:ascii="宋体" w:hAnsi="宋体" w:eastAsia="宋体" w:cs="宋体"/>
                <w:i w:val="0"/>
                <w:iCs w:val="0"/>
                <w:color w:val="000000"/>
                <w:kern w:val="0"/>
                <w:sz w:val="24"/>
                <w:szCs w:val="24"/>
                <w:u w:val="none"/>
                <w:lang w:val="en-US" w:eastAsia="zh-CN" w:bidi="ar"/>
              </w:rPr>
              <w:t>元</w:t>
            </w:r>
          </w:p>
        </w:tc>
      </w:tr>
    </w:tbl>
    <w:p>
      <w:pPr>
        <w:pStyle w:val="6"/>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right="-105" w:rightChars="-50"/>
        <w:textAlignment w:val="auto"/>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要求：1、含主辅材料运输、装卸、安装、调试、增值税专票。</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right="-105" w:rightChars="-50"/>
        <w:textAlignment w:val="auto"/>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2、供应商所提供设备、材料必须符合国家二级质量标准，并出示法定检验机构对该产品的检验证明，并经招标人许可后方可使用。</w:t>
      </w:r>
    </w:p>
    <w:p>
      <w:pPr>
        <w:pStyle w:val="2"/>
        <w:ind w:left="0" w:leftChars="0" w:firstLine="0" w:firstLineChars="0"/>
        <w:jc w:val="left"/>
        <w:rPr>
          <w:rFonts w:hint="eastAsia" w:ascii="黑体" w:hAnsi="黑体" w:eastAsia="黑体" w:cs="黑体"/>
          <w:bCs/>
          <w:sz w:val="28"/>
          <w:szCs w:val="28"/>
          <w:lang w:eastAsia="zh-CN"/>
        </w:rPr>
      </w:pPr>
      <w:r>
        <w:rPr>
          <w:rFonts w:hint="eastAsia" w:ascii="宋体" w:hAnsi="宋体" w:cs="宋体"/>
          <w:i w:val="0"/>
          <w:iCs w:val="0"/>
          <w:color w:val="000000"/>
          <w:kern w:val="0"/>
          <w:sz w:val="28"/>
          <w:szCs w:val="28"/>
          <w:u w:val="none"/>
          <w:lang w:val="en-US" w:eastAsia="zh-CN" w:bidi="ar"/>
        </w:rPr>
        <w:t>3、设备及工艺质量保修期应不低于一年。厂家规定超过一年的按厂家规定执行，在保修期内出现质量问题由中标单位进行更换、修理。</w:t>
      </w: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报价表</w:t>
      </w:r>
    </w:p>
    <w:tbl>
      <w:tblPr>
        <w:tblStyle w:val="7"/>
        <w:tblW w:w="99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34"/>
        <w:gridCol w:w="3264"/>
        <w:gridCol w:w="983"/>
        <w:gridCol w:w="1136"/>
        <w:gridCol w:w="104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规格及要求</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金融</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落地式配电箱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 xml:space="preserve">1.名称：景观照明配电箱1AL </w:t>
            </w:r>
          </w:p>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2.其他：含箱内所有电气元件，具体详见配电箱系统图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center"/>
              <w:textAlignment w:val="center"/>
              <w:rPr>
                <w:rFonts w:hint="default"/>
                <w:lang w:val="en-US" w:eastAsia="zh-CN"/>
              </w:rPr>
            </w:pPr>
            <w:r>
              <w:rPr>
                <w:rFonts w:hint="eastAsia"/>
                <w:lang w:val="en-US" w:eastAsia="zh-CN"/>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常规照明灯</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 xml:space="preserve">1.名称：庭院灯 </w:t>
            </w:r>
          </w:p>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2.规格：36W，H=3.5m，2000K，IP55</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套</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center"/>
              <w:textAlignment w:val="center"/>
              <w:rPr>
                <w:rFonts w:hint="default"/>
                <w:lang w:val="en-US" w:eastAsia="zh-CN"/>
              </w:rPr>
            </w:pPr>
            <w:r>
              <w:rPr>
                <w:rFonts w:hint="eastAsia"/>
                <w:lang w:val="en-US" w:eastAsia="zh-CN"/>
              </w:rPr>
              <w:t>10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配管</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 xml:space="preserve">1.名称：PE塑料管 </w:t>
            </w:r>
          </w:p>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 xml:space="preserve">2.规格：DN32 </w:t>
            </w:r>
          </w:p>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3.敷设方式：埋地敷设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m</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center"/>
              <w:textAlignment w:val="center"/>
              <w:rPr>
                <w:rFonts w:hint="default"/>
                <w:lang w:val="en-US" w:eastAsia="zh-CN"/>
              </w:rPr>
            </w:pPr>
            <w:r>
              <w:rPr>
                <w:rFonts w:hint="eastAsia"/>
                <w:lang w:val="en-US" w:eastAsia="zh-CN"/>
              </w:rPr>
              <w:t>193.67</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default"/>
                <w:lang w:val="en-US" w:eastAsia="zh-CN"/>
              </w:rPr>
            </w:pPr>
            <w:r>
              <w:rPr>
                <w:rFonts w:hint="default"/>
                <w:lang w:val="en-US" w:eastAsia="zh-CN"/>
              </w:rPr>
              <w:t>电缆及安装费</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 xml:space="preserve">1.名称：铜芯电力电缆 </w:t>
            </w:r>
          </w:p>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2.规格：YJV-2x4+E4</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m</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center"/>
              <w:textAlignment w:val="center"/>
              <w:rPr>
                <w:rFonts w:hint="default"/>
                <w:lang w:val="en-US" w:eastAsia="zh-CN"/>
              </w:rPr>
            </w:pPr>
            <w:r>
              <w:rPr>
                <w:rFonts w:hint="eastAsia"/>
                <w:lang w:val="en-US" w:eastAsia="zh-CN"/>
              </w:rPr>
              <w:t>226.85</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路灯零件</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1.接地极：5*50*2500镀锌角钢接地极</w:t>
            </w:r>
          </w:p>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2.路灯接地线：φ12镀锌圆钢</w:t>
            </w:r>
          </w:p>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3.供电系统,接地装置调试 路灯柱接地测试 一柱、一独立接地、一测</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套</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center"/>
              <w:textAlignment w:val="center"/>
              <w:rPr>
                <w:rFonts w:hint="default"/>
                <w:lang w:val="en-US" w:eastAsia="zh-CN"/>
              </w:rPr>
            </w:pPr>
            <w:r>
              <w:rPr>
                <w:rFonts w:hint="eastAsia"/>
                <w:lang w:val="en-US" w:eastAsia="zh-CN"/>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6</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基础设施</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基座开挖及回填、现浇构件钢筋制安、自拌混凝土浇筑。</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座</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center"/>
              <w:textAlignment w:val="center"/>
              <w:rPr>
                <w:rFonts w:hint="default"/>
                <w:lang w:val="en-US" w:eastAsia="zh-CN"/>
              </w:rPr>
            </w:pPr>
            <w:r>
              <w:rPr>
                <w:rFonts w:hint="eastAsia"/>
                <w:lang w:val="en-US" w:eastAsia="zh-CN"/>
              </w:rPr>
              <w:t>10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default"/>
                <w:lang w:val="en-US" w:eastAsia="zh-CN"/>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eastAsia"/>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992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合计金额：</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元</w:t>
            </w:r>
            <w:r>
              <w:rPr>
                <w:rFonts w:hint="eastAsia" w:ascii="宋体" w:hAnsi="宋体" w:cs="宋体"/>
                <w:i w:val="0"/>
                <w:iCs w:val="0"/>
                <w:color w:val="000000"/>
                <w:kern w:val="0"/>
                <w:sz w:val="22"/>
                <w:szCs w:val="22"/>
                <w:u w:val="none"/>
                <w:lang w:val="en-US" w:eastAsia="zh-CN" w:bidi="ar"/>
              </w:rPr>
              <w:t>（含</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cs="宋体"/>
                <w:i w:val="0"/>
                <w:iCs w:val="0"/>
                <w:color w:val="000000"/>
                <w:kern w:val="0"/>
                <w:sz w:val="22"/>
                <w:szCs w:val="22"/>
                <w:u w:val="none"/>
                <w:lang w:val="en-US" w:eastAsia="zh-CN" w:bidi="ar"/>
              </w:rPr>
              <w:t>%增值税专票）</w:t>
            </w:r>
          </w:p>
        </w:tc>
      </w:tr>
    </w:tbl>
    <w:p>
      <w:pPr>
        <w:pStyle w:val="6"/>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right="-105" w:rightChars="-50"/>
        <w:textAlignment w:val="auto"/>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要求：1、含主辅材料运输、装卸、安装、调试、增值税专票。</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right="-105" w:rightChars="-50"/>
        <w:textAlignment w:val="auto"/>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2、供应商所提供设备、材料必须符合国家二级质量标准，并出示法定检验机构对该产品的检验证明，并经招标人许可后方可使用。</w:t>
      </w:r>
    </w:p>
    <w:p>
      <w:pPr>
        <w:pStyle w:val="2"/>
        <w:ind w:left="0" w:leftChars="0" w:firstLine="0" w:firstLineChars="0"/>
        <w:jc w:val="left"/>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8"/>
          <w:szCs w:val="28"/>
          <w:u w:val="none"/>
          <w:lang w:val="en-US" w:eastAsia="zh-CN" w:bidi="ar"/>
        </w:rPr>
        <w:t>3、设备及工艺质量保修期应不低于一年。厂家规定超过一年的按厂家规定执行，在保修期内出现质量问题由中标单位进行更换、修理。</w:t>
      </w:r>
    </w:p>
    <w:p>
      <w:pPr>
        <w:pStyle w:val="2"/>
        <w:rPr>
          <w:rFonts w:hint="eastAsia"/>
          <w:lang w:eastAsia="zh-CN"/>
        </w:rPr>
      </w:pPr>
    </w:p>
    <w:p>
      <w:pPr>
        <w:wordWrap w:val="0"/>
        <w:spacing w:line="480" w:lineRule="exact"/>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ind w:left="0" w:leftChars="0" w:firstLine="0" w:firstLineChars="0"/>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2FC8EE"/>
    <w:multiLevelType w:val="singleLevel"/>
    <w:tmpl w:val="0C2FC8E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hYjA3MzZkOWJjZDk0OWM4YTliM2RkNDI0MzQ1Y2EifQ=="/>
  </w:docVars>
  <w:rsids>
    <w:rsidRoot w:val="00000000"/>
    <w:rsid w:val="007F2460"/>
    <w:rsid w:val="108F4A9F"/>
    <w:rsid w:val="12467D82"/>
    <w:rsid w:val="182F0707"/>
    <w:rsid w:val="32CB17B6"/>
    <w:rsid w:val="332F2177"/>
    <w:rsid w:val="36A15879"/>
    <w:rsid w:val="37EB4A5F"/>
    <w:rsid w:val="386016F5"/>
    <w:rsid w:val="3977782B"/>
    <w:rsid w:val="46A26361"/>
    <w:rsid w:val="4F4A6771"/>
    <w:rsid w:val="51E11621"/>
    <w:rsid w:val="52B624C2"/>
    <w:rsid w:val="56940776"/>
    <w:rsid w:val="5CB14D8D"/>
    <w:rsid w:val="60994292"/>
    <w:rsid w:val="63996173"/>
    <w:rsid w:val="72535619"/>
    <w:rsid w:val="752E43C0"/>
    <w:rsid w:val="7DA1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Body Text Indent"/>
    <w:basedOn w:val="1"/>
    <w:next w:val="11"/>
    <w:qFormat/>
    <w:uiPriority w:val="0"/>
    <w:pPr>
      <w:spacing w:after="120" w:afterLines="0"/>
      <w:ind w:left="420" w:leftChars="200"/>
    </w:pPr>
    <w:rPr>
      <w:rFonts w:eastAsia="宋体" w:cs="Times New Roman"/>
      <w:sz w:val="21"/>
    </w:rPr>
  </w:style>
  <w:style w:type="paragraph" w:customStyle="1" w:styleId="11">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1216</Words>
  <Characters>1414</Characters>
  <Lines>0</Lines>
  <Paragraphs>0</Paragraphs>
  <TotalTime>0</TotalTime>
  <ScaleCrop>false</ScaleCrop>
  <LinksUpToDate>false</LinksUpToDate>
  <CharactersWithSpaces>1515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Administrator</cp:lastModifiedBy>
  <cp:lastPrinted>2022-10-12T09:52:00Z</cp:lastPrinted>
  <dcterms:modified xsi:type="dcterms:W3CDTF">2022-12-02T12:00:10Z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FB57ECD9D7804180851CC3152C07E66F</vt:lpwstr>
  </property>
</Properties>
</file>